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61CB" w:rsidRPr="00BD00FB" w:rsidRDefault="00C361CB" w:rsidP="00C361CB">
      <w:pPr>
        <w:pStyle w:val="Heading5"/>
        <w:rPr>
          <w:i w:val="0"/>
          <w:iCs w:val="0"/>
          <w:sz w:val="20"/>
          <w:szCs w:val="20"/>
          <w:rtl/>
          <w:lang w:bidi="fa-IR"/>
        </w:rPr>
      </w:pPr>
      <w:bookmarkStart w:id="0" w:name="_GoBack"/>
      <w:bookmarkEnd w:id="0"/>
      <w:r w:rsidRPr="00BD00FB">
        <w:rPr>
          <w:i w:val="0"/>
          <w:iCs w:val="0"/>
          <w:sz w:val="20"/>
          <w:szCs w:val="20"/>
        </w:rPr>
        <w:t>REFERENCES</w:t>
      </w:r>
    </w:p>
    <w:p w:rsidR="00C361CB" w:rsidRPr="00BD00FB" w:rsidRDefault="00C361CB" w:rsidP="00C361CB">
      <w:pPr>
        <w:pStyle w:val="references"/>
        <w:spacing w:after="50" w:line="240" w:lineRule="auto"/>
        <w:rPr>
          <w:sz w:val="20"/>
        </w:rPr>
      </w:pPr>
      <w:r w:rsidRPr="00BD00FB">
        <w:rPr>
          <w:sz w:val="20"/>
          <w:lang w:bidi="fa-IR"/>
        </w:rPr>
        <w:t xml:space="preserve">Roy, N.K., Pota, H.R., Anwar, A., </w:t>
      </w:r>
      <w:r w:rsidRPr="00BD00FB">
        <w:rPr>
          <w:noProof/>
          <w:sz w:val="18"/>
          <w:szCs w:val="18"/>
        </w:rPr>
        <w:t>"</w:t>
      </w:r>
      <w:r w:rsidRPr="00BD00FB">
        <w:rPr>
          <w:sz w:val="20"/>
        </w:rPr>
        <w:t>A new approach for wind and solar type DG placement in power distribution networks to enhance systems stability,</w:t>
      </w:r>
      <w:r w:rsidRPr="00BD00FB">
        <w:rPr>
          <w:noProof/>
          <w:sz w:val="18"/>
          <w:szCs w:val="18"/>
        </w:rPr>
        <w:t>"</w:t>
      </w:r>
      <w:r w:rsidRPr="00BD00FB">
        <w:rPr>
          <w:sz w:val="20"/>
        </w:rPr>
        <w:t xml:space="preserve"> IEEE International Power Engineering and Optimization Con</w:t>
      </w:r>
      <w:r>
        <w:rPr>
          <w:sz w:val="20"/>
        </w:rPr>
        <w:t>ference Melaka, pp. 296-301, 6</w:t>
      </w:r>
      <w:r w:rsidRPr="00BD00FB">
        <w:rPr>
          <w:sz w:val="20"/>
        </w:rPr>
        <w:t xml:space="preserve"> June 2012.</w:t>
      </w:r>
    </w:p>
    <w:p w:rsidR="00C361CB" w:rsidRPr="00BD00FB" w:rsidRDefault="00C361CB" w:rsidP="00C361CB">
      <w:pPr>
        <w:pStyle w:val="references"/>
        <w:spacing w:after="50" w:line="240" w:lineRule="auto"/>
        <w:rPr>
          <w:sz w:val="20"/>
        </w:rPr>
      </w:pPr>
      <w:r w:rsidRPr="00BD00FB">
        <w:rPr>
          <w:sz w:val="20"/>
        </w:rPr>
        <w:t xml:space="preserve">Gheydi, M., Farhadi, P., Bagheri. S., Hematizadeh, A., "Impact of wind farm and thyristor-switched series capacitors in voltage, active and reactive power in normal condition of network," </w:t>
      </w:r>
      <w:hyperlink r:id="rId6" w:history="1">
        <w:r w:rsidRPr="00BD00FB">
          <w:rPr>
            <w:sz w:val="20"/>
          </w:rPr>
          <w:t>10th International Symposium on Advanced Topics in Electrical Engineering (ATEE)</w:t>
        </w:r>
      </w:hyperlink>
      <w:r w:rsidRPr="00BD00FB">
        <w:rPr>
          <w:sz w:val="20"/>
        </w:rPr>
        <w:t xml:space="preserve"> , 23-25 March 2017.</w:t>
      </w:r>
    </w:p>
    <w:p w:rsidR="00C361CB" w:rsidRPr="00BD00FB" w:rsidRDefault="00C361CB" w:rsidP="00C361CB">
      <w:pPr>
        <w:pStyle w:val="references"/>
        <w:spacing w:after="50" w:line="240" w:lineRule="auto"/>
        <w:rPr>
          <w:sz w:val="20"/>
        </w:rPr>
      </w:pPr>
      <w:r w:rsidRPr="00BD00FB">
        <w:rPr>
          <w:sz w:val="20"/>
        </w:rPr>
        <w:t xml:space="preserve">Rahimi, F., Ipakchi, A. </w:t>
      </w:r>
      <w:r w:rsidRPr="00BD00FB">
        <w:rPr>
          <w:noProof/>
          <w:sz w:val="18"/>
          <w:szCs w:val="18"/>
        </w:rPr>
        <w:t>"</w:t>
      </w:r>
      <w:r w:rsidRPr="00BD00FB">
        <w:rPr>
          <w:sz w:val="20"/>
        </w:rPr>
        <w:t>Demand response as market resource under the smart grid paradigm,</w:t>
      </w:r>
      <w:r w:rsidRPr="00BD00FB">
        <w:rPr>
          <w:noProof/>
          <w:sz w:val="18"/>
          <w:szCs w:val="18"/>
        </w:rPr>
        <w:t xml:space="preserve">" </w:t>
      </w:r>
      <w:r w:rsidRPr="00BD00FB">
        <w:rPr>
          <w:sz w:val="20"/>
        </w:rPr>
        <w:t>IEEE Transaction on Smart Grid, Vol. 1, Issue 1, pp. 82-88, 26 April 2010</w:t>
      </w:r>
    </w:p>
    <w:p w:rsidR="00C361CB" w:rsidRPr="00BD00FB" w:rsidRDefault="00C361CB" w:rsidP="00C361CB">
      <w:pPr>
        <w:pStyle w:val="references"/>
        <w:spacing w:after="50" w:line="240" w:lineRule="auto"/>
        <w:rPr>
          <w:sz w:val="20"/>
        </w:rPr>
      </w:pPr>
      <w:r w:rsidRPr="00BD00FB">
        <w:rPr>
          <w:sz w:val="20"/>
        </w:rPr>
        <w:t xml:space="preserve">Atanasovaki, M., Taleski, R., </w:t>
      </w:r>
      <w:r w:rsidRPr="00BD00FB">
        <w:rPr>
          <w:noProof/>
          <w:sz w:val="18"/>
          <w:szCs w:val="18"/>
        </w:rPr>
        <w:t>"</w:t>
      </w:r>
      <w:r w:rsidRPr="00BD00FB">
        <w:rPr>
          <w:sz w:val="20"/>
        </w:rPr>
        <w:t>Energy summation method for loss allocation in radial distribution networks with DG,</w:t>
      </w:r>
      <w:r w:rsidRPr="00BD00FB">
        <w:rPr>
          <w:noProof/>
          <w:sz w:val="18"/>
          <w:szCs w:val="18"/>
        </w:rPr>
        <w:t>"</w:t>
      </w:r>
      <w:r w:rsidRPr="00BD00FB">
        <w:rPr>
          <w:sz w:val="20"/>
        </w:rPr>
        <w:t xml:space="preserve"> IEEE Transaction on Power Systems, Vol. 27, Issue 3, pp. 1433-1440, 3 February 2012.</w:t>
      </w:r>
    </w:p>
    <w:p w:rsidR="00C361CB" w:rsidRPr="00BD00FB" w:rsidRDefault="00C361CB" w:rsidP="00C361CB">
      <w:pPr>
        <w:pStyle w:val="references"/>
        <w:spacing w:after="50" w:line="240" w:lineRule="auto"/>
        <w:rPr>
          <w:sz w:val="20"/>
        </w:rPr>
      </w:pPr>
      <w:r w:rsidRPr="00BD00FB">
        <w:rPr>
          <w:sz w:val="20"/>
        </w:rPr>
        <w:t xml:space="preserve">Thukaram, D., Jenkins, L., Visakha, K. </w:t>
      </w:r>
      <w:r w:rsidRPr="00BD00FB">
        <w:rPr>
          <w:noProof/>
          <w:sz w:val="18"/>
          <w:szCs w:val="18"/>
        </w:rPr>
        <w:t>"</w:t>
      </w:r>
      <w:r w:rsidRPr="00BD00FB">
        <w:rPr>
          <w:sz w:val="20"/>
        </w:rPr>
        <w:t>Optimum allocation of reactive power for voltage stability improvement in AC-DC power systems,</w:t>
      </w:r>
      <w:r w:rsidRPr="00BD00FB">
        <w:rPr>
          <w:noProof/>
          <w:sz w:val="18"/>
          <w:szCs w:val="18"/>
        </w:rPr>
        <w:t xml:space="preserve"> " </w:t>
      </w:r>
      <w:r w:rsidRPr="00BD00FB">
        <w:rPr>
          <w:sz w:val="20"/>
        </w:rPr>
        <w:t>IEEE Proceedings Generation, Transmission and Distribution, Vol. 153, Issue 2, pp. 237-246, 16 March 2006.</w:t>
      </w:r>
    </w:p>
    <w:p w:rsidR="00C361CB" w:rsidRPr="00BD00FB" w:rsidRDefault="00C361CB" w:rsidP="00C361CB">
      <w:pPr>
        <w:pStyle w:val="references"/>
        <w:spacing w:after="50" w:line="240" w:lineRule="auto"/>
        <w:rPr>
          <w:sz w:val="20"/>
        </w:rPr>
      </w:pPr>
      <w:r w:rsidRPr="00BD00FB">
        <w:rPr>
          <w:sz w:val="20"/>
        </w:rPr>
        <w:t xml:space="preserve">Zhilhunan Li, Begovic, M.M, Xianzhong Duan </w:t>
      </w:r>
      <w:r w:rsidRPr="00BD00FB">
        <w:rPr>
          <w:noProof/>
          <w:sz w:val="18"/>
          <w:szCs w:val="18"/>
        </w:rPr>
        <w:t>"</w:t>
      </w:r>
      <w:r w:rsidRPr="00BD00FB">
        <w:rPr>
          <w:sz w:val="20"/>
        </w:rPr>
        <w:t>Reactive power planning using a two-level optimizer based on multi object algorithms,</w:t>
      </w:r>
      <w:r w:rsidRPr="00BD00FB">
        <w:rPr>
          <w:noProof/>
          <w:sz w:val="18"/>
          <w:szCs w:val="18"/>
        </w:rPr>
        <w:t>"</w:t>
      </w:r>
      <w:r w:rsidRPr="00BD00FB">
        <w:rPr>
          <w:sz w:val="20"/>
        </w:rPr>
        <w:t>15</w:t>
      </w:r>
      <w:r w:rsidRPr="00BD00FB">
        <w:rPr>
          <w:sz w:val="20"/>
          <w:vertAlign w:val="superscript"/>
        </w:rPr>
        <w:t>th</w:t>
      </w:r>
      <w:r w:rsidRPr="00BD00FB">
        <w:rPr>
          <w:sz w:val="20"/>
        </w:rPr>
        <w:t xml:space="preserve"> International conference on Intelligent System Applications to Power Systems, pp. 1-6, 8-12 November 2009.</w:t>
      </w:r>
    </w:p>
    <w:p w:rsidR="00C361CB" w:rsidRPr="00BD00FB" w:rsidRDefault="00C361CB" w:rsidP="00C361CB">
      <w:pPr>
        <w:pStyle w:val="references"/>
        <w:spacing w:after="50" w:line="240" w:lineRule="auto"/>
        <w:rPr>
          <w:sz w:val="20"/>
        </w:rPr>
      </w:pPr>
      <w:r w:rsidRPr="00BD00FB">
        <w:rPr>
          <w:sz w:val="20"/>
        </w:rPr>
        <w:t xml:space="preserve">Yurong Wang, Fangxing Li, Qiulan Wan, Hao Chen </w:t>
      </w:r>
      <w:r w:rsidRPr="00BD00FB">
        <w:rPr>
          <w:noProof/>
          <w:sz w:val="18"/>
          <w:szCs w:val="18"/>
        </w:rPr>
        <w:t>"</w:t>
      </w:r>
      <w:r w:rsidRPr="00BD00FB">
        <w:rPr>
          <w:sz w:val="20"/>
        </w:rPr>
        <w:t>Reactive power planning based on fuzzy clustering, gray code, and simulated annealing,</w:t>
      </w:r>
      <w:r w:rsidRPr="00BD00FB">
        <w:rPr>
          <w:noProof/>
          <w:sz w:val="18"/>
          <w:szCs w:val="18"/>
        </w:rPr>
        <w:t xml:space="preserve">" </w:t>
      </w:r>
      <w:r w:rsidRPr="00BD00FB">
        <w:rPr>
          <w:sz w:val="20"/>
        </w:rPr>
        <w:t>IEEE Transactions on Power Systems, Vol. 26, Issue 4, pp. 2246-2255, 28 February 2011.</w:t>
      </w:r>
    </w:p>
    <w:p w:rsidR="00C361CB" w:rsidRDefault="00C361CB" w:rsidP="00C361CB">
      <w:pPr>
        <w:pStyle w:val="references"/>
        <w:spacing w:after="50" w:line="240" w:lineRule="auto"/>
        <w:rPr>
          <w:sz w:val="20"/>
        </w:rPr>
      </w:pPr>
      <w:r w:rsidRPr="00BD00FB">
        <w:rPr>
          <w:sz w:val="20"/>
        </w:rPr>
        <w:t xml:space="preserve">Kumar, K.V., Selvan, M.P. </w:t>
      </w:r>
      <w:r w:rsidRPr="00BD00FB">
        <w:rPr>
          <w:noProof/>
          <w:sz w:val="18"/>
          <w:szCs w:val="18"/>
        </w:rPr>
        <w:t>"</w:t>
      </w:r>
      <w:r w:rsidRPr="00BD00FB">
        <w:rPr>
          <w:sz w:val="20"/>
        </w:rPr>
        <w:t>Planning and operation of distributed generations in distribution systems for improved voltage profile,</w:t>
      </w:r>
      <w:r w:rsidRPr="00BD00FB">
        <w:rPr>
          <w:noProof/>
          <w:sz w:val="18"/>
          <w:szCs w:val="18"/>
        </w:rPr>
        <w:t xml:space="preserve"> "</w:t>
      </w:r>
      <w:r w:rsidRPr="00BD00FB">
        <w:rPr>
          <w:sz w:val="20"/>
        </w:rPr>
        <w:t xml:space="preserve"> IEEE/PEs Power Systems Conference and Exposition, pp. 1-7, 15-18 March 2009.</w:t>
      </w:r>
    </w:p>
    <w:p w:rsidR="00C361CB" w:rsidRDefault="00C361CB" w:rsidP="00C361CB">
      <w:pPr>
        <w:pStyle w:val="references"/>
        <w:spacing w:after="50" w:line="240" w:lineRule="auto"/>
        <w:rPr>
          <w:sz w:val="20"/>
        </w:rPr>
      </w:pPr>
      <w:r>
        <w:rPr>
          <w:sz w:val="20"/>
        </w:rPr>
        <w:t>Jihong Li, Hongyang Huang, Boliang Lou, Yan Peng, Qinxin Huang, Kia Xia, “Wind farm reactive power and voltage control strategy based on adaptive discrete binary particle swarm optimization,” 2019 IEEE Asia Power and energy Engineering Conference, 29-31 March 2019.</w:t>
      </w:r>
    </w:p>
    <w:p w:rsidR="00C361CB" w:rsidRPr="00FF62A1" w:rsidRDefault="00C361CB" w:rsidP="00C361CB">
      <w:pPr>
        <w:pStyle w:val="references"/>
        <w:spacing w:after="50" w:line="240" w:lineRule="auto"/>
        <w:rPr>
          <w:sz w:val="20"/>
        </w:rPr>
      </w:pPr>
      <w:r w:rsidRPr="00FF62A1">
        <w:rPr>
          <w:sz w:val="20"/>
        </w:rPr>
        <w:t>Qiang Fan, Xiankui Wen, Meimei Xu, Chenghui Lin, Wie Gu, Wenixa Liu, Yongsheng Feng, “Re</w:t>
      </w:r>
      <w:r>
        <w:rPr>
          <w:sz w:val="20"/>
        </w:rPr>
        <w:t>search and simulation analysis on transient stability of wind power accessing in regional grid,” 2018 2</w:t>
      </w:r>
      <w:r w:rsidRPr="00AA46E8">
        <w:rPr>
          <w:sz w:val="20"/>
          <w:vertAlign w:val="superscript"/>
        </w:rPr>
        <w:t>nd</w:t>
      </w:r>
      <w:r>
        <w:rPr>
          <w:sz w:val="20"/>
        </w:rPr>
        <w:t xml:space="preserve"> IEEE Advanced Information Management, Communicates, Electronic and automation Control conference, 25-27 May 2018. </w:t>
      </w:r>
    </w:p>
    <w:p w:rsidR="00C361CB" w:rsidRDefault="00C361CB" w:rsidP="00C361CB">
      <w:pPr>
        <w:pStyle w:val="references"/>
        <w:spacing w:after="50" w:line="240" w:lineRule="auto"/>
        <w:rPr>
          <w:sz w:val="20"/>
        </w:rPr>
      </w:pPr>
      <w:r w:rsidRPr="00BD00FB">
        <w:rPr>
          <w:sz w:val="20"/>
        </w:rPr>
        <w:t xml:space="preserve">Liu, M.B., Canizares, C.A., Huang, W. </w:t>
      </w:r>
      <w:r w:rsidRPr="00BD00FB">
        <w:rPr>
          <w:noProof/>
          <w:sz w:val="18"/>
          <w:szCs w:val="18"/>
        </w:rPr>
        <w:t>"</w:t>
      </w:r>
      <w:r w:rsidRPr="00BD00FB">
        <w:rPr>
          <w:sz w:val="20"/>
        </w:rPr>
        <w:t>Reactive power and voltage control in distribution systems with limited switching operations,</w:t>
      </w:r>
      <w:r w:rsidRPr="00BD00FB">
        <w:rPr>
          <w:noProof/>
          <w:sz w:val="18"/>
          <w:szCs w:val="18"/>
        </w:rPr>
        <w:t xml:space="preserve"> "</w:t>
      </w:r>
      <w:r w:rsidRPr="00BD00FB">
        <w:rPr>
          <w:sz w:val="20"/>
        </w:rPr>
        <w:t xml:space="preserve"> IEEE Transactions on Power Systems, Vol. 24, Issue 2, pp. 889-899, 31 March 2009</w:t>
      </w:r>
      <w:r>
        <w:rPr>
          <w:sz w:val="20"/>
        </w:rPr>
        <w:t>.</w:t>
      </w:r>
    </w:p>
    <w:p w:rsidR="00C361CB" w:rsidRPr="00BD00FB" w:rsidRDefault="00C361CB" w:rsidP="00C361CB">
      <w:pPr>
        <w:pStyle w:val="references"/>
        <w:spacing w:after="50" w:line="240" w:lineRule="auto"/>
        <w:rPr>
          <w:sz w:val="20"/>
        </w:rPr>
      </w:pPr>
      <w:r w:rsidRPr="00BD00FB">
        <w:rPr>
          <w:sz w:val="20"/>
        </w:rPr>
        <w:t xml:space="preserve">Hao Wang, Huilan Jiang, Ke Xu, Guodong Li, </w:t>
      </w:r>
      <w:r w:rsidRPr="00BD00FB">
        <w:rPr>
          <w:noProof/>
          <w:sz w:val="18"/>
          <w:szCs w:val="18"/>
        </w:rPr>
        <w:t>"</w:t>
      </w:r>
      <w:r w:rsidRPr="00BD00FB">
        <w:rPr>
          <w:sz w:val="20"/>
        </w:rPr>
        <w:t>Reactive power optimization of power system based on improved patricle swarm optimization,</w:t>
      </w:r>
      <w:r>
        <w:rPr>
          <w:noProof/>
          <w:sz w:val="18"/>
          <w:szCs w:val="18"/>
        </w:rPr>
        <w:t>"</w:t>
      </w:r>
      <w:r w:rsidRPr="00BD00FB">
        <w:rPr>
          <w:sz w:val="20"/>
        </w:rPr>
        <w:t xml:space="preserve"> 4</w:t>
      </w:r>
      <w:r w:rsidRPr="00BD00FB">
        <w:rPr>
          <w:sz w:val="20"/>
          <w:vertAlign w:val="superscript"/>
        </w:rPr>
        <w:t>th</w:t>
      </w:r>
      <w:r w:rsidRPr="00BD00FB">
        <w:rPr>
          <w:sz w:val="20"/>
        </w:rPr>
        <w:t xml:space="preserve"> International Electric Utility Deregulation Restructuring and Power Technologies, pp. 606-609, 6-9 July 2011.</w:t>
      </w:r>
    </w:p>
    <w:p w:rsidR="00C361CB" w:rsidRPr="00BD00FB" w:rsidRDefault="00C361CB" w:rsidP="00C361CB">
      <w:pPr>
        <w:pStyle w:val="references"/>
        <w:spacing w:after="50" w:line="240" w:lineRule="auto"/>
        <w:rPr>
          <w:sz w:val="20"/>
        </w:rPr>
      </w:pPr>
      <w:r w:rsidRPr="00BD00FB">
        <w:rPr>
          <w:sz w:val="20"/>
        </w:rPr>
        <w:t xml:space="preserve">Gelen, A., Yalcionoz, T. </w:t>
      </w:r>
      <w:r w:rsidRPr="00BD00FB">
        <w:rPr>
          <w:noProof/>
          <w:sz w:val="18"/>
          <w:szCs w:val="18"/>
        </w:rPr>
        <w:t>"</w:t>
      </w:r>
      <w:r w:rsidRPr="00BD00FB">
        <w:rPr>
          <w:sz w:val="20"/>
        </w:rPr>
        <w:t>The behavior of thyristor switched capacitor (TSC) installed in an infinite bus system,</w:t>
      </w:r>
      <w:r w:rsidRPr="00BD00FB">
        <w:rPr>
          <w:noProof/>
          <w:sz w:val="18"/>
          <w:szCs w:val="18"/>
        </w:rPr>
        <w:t>"</w:t>
      </w:r>
      <w:r w:rsidRPr="00BD00FB">
        <w:rPr>
          <w:sz w:val="20"/>
        </w:rPr>
        <w:t xml:space="preserve"> IEEE Eurocon 2009, pp. 614-617 2009, 18-23 May 2009.</w:t>
      </w:r>
    </w:p>
    <w:p w:rsidR="00C361CB" w:rsidRPr="00BD00FB" w:rsidRDefault="00C361CB" w:rsidP="00C361CB">
      <w:pPr>
        <w:pStyle w:val="references"/>
        <w:spacing w:after="50" w:line="240" w:lineRule="auto"/>
        <w:rPr>
          <w:sz w:val="20"/>
        </w:rPr>
      </w:pPr>
      <w:r w:rsidRPr="00BD00FB">
        <w:rPr>
          <w:sz w:val="20"/>
        </w:rPr>
        <w:t xml:space="preserve">Zhang Jianhue, Dia Guanping, Xiao Gang, Zhao Jie </w:t>
      </w:r>
      <w:r w:rsidRPr="00BD00FB">
        <w:rPr>
          <w:noProof/>
          <w:sz w:val="18"/>
          <w:szCs w:val="18"/>
        </w:rPr>
        <w:t>"</w:t>
      </w:r>
      <w:r w:rsidRPr="00BD00FB">
        <w:rPr>
          <w:sz w:val="20"/>
        </w:rPr>
        <w:t>Design of the control system for thyristor switched capacitor devices,</w:t>
      </w:r>
      <w:r w:rsidRPr="00BD00FB">
        <w:rPr>
          <w:noProof/>
          <w:sz w:val="18"/>
          <w:szCs w:val="18"/>
        </w:rPr>
        <w:t>"</w:t>
      </w:r>
      <w:r w:rsidRPr="00BD00FB">
        <w:rPr>
          <w:sz w:val="20"/>
        </w:rPr>
        <w:t xml:space="preserve"> IEEE Pes Transmission and Distribution Conference and Exposition, pp. 606-610, 7-12 September 2003.</w:t>
      </w:r>
    </w:p>
    <w:p w:rsidR="00C361CB" w:rsidRPr="00BD00FB" w:rsidRDefault="00C361CB" w:rsidP="00C361CB">
      <w:pPr>
        <w:pStyle w:val="references"/>
        <w:spacing w:after="50" w:line="240" w:lineRule="auto"/>
        <w:rPr>
          <w:sz w:val="20"/>
        </w:rPr>
      </w:pPr>
      <w:r w:rsidRPr="00BD00FB">
        <w:rPr>
          <w:sz w:val="20"/>
        </w:rPr>
        <w:t xml:space="preserve">Ramesh, L., Madhusudhanaraju, M.m Chowdhury, S.P., Chowdhury, S., </w:t>
      </w:r>
      <w:r w:rsidRPr="00BD00FB">
        <w:rPr>
          <w:noProof/>
          <w:sz w:val="18"/>
          <w:szCs w:val="18"/>
        </w:rPr>
        <w:t>"</w:t>
      </w:r>
      <w:r w:rsidRPr="00BD00FB">
        <w:rPr>
          <w:sz w:val="20"/>
        </w:rPr>
        <w:t>Voltage profile improvement through high voltage distribution system,</w:t>
      </w:r>
      <w:r w:rsidRPr="00BD00FB">
        <w:rPr>
          <w:noProof/>
          <w:sz w:val="18"/>
          <w:szCs w:val="18"/>
        </w:rPr>
        <w:t>"</w:t>
      </w:r>
      <w:r w:rsidRPr="00BD00FB">
        <w:rPr>
          <w:sz w:val="20"/>
        </w:rPr>
        <w:t xml:space="preserve"> International Conference on Sustainable Energy and Intelligent Systems, pp. 468-473, 20-22 July 2011.</w:t>
      </w:r>
    </w:p>
    <w:p w:rsidR="00C361CB" w:rsidRPr="00BD00FB" w:rsidRDefault="00C361CB" w:rsidP="00C361CB">
      <w:pPr>
        <w:pStyle w:val="references"/>
        <w:spacing w:after="50" w:line="240" w:lineRule="auto"/>
        <w:rPr>
          <w:sz w:val="20"/>
        </w:rPr>
      </w:pPr>
      <w:r w:rsidRPr="00BD00FB">
        <w:rPr>
          <w:sz w:val="20"/>
        </w:rPr>
        <w:t xml:space="preserve">Sikiru, T.H., Jimoh, A.A, Hamam, Y., Agee, J.T. </w:t>
      </w:r>
      <w:r w:rsidRPr="00BD00FB">
        <w:rPr>
          <w:noProof/>
          <w:sz w:val="18"/>
          <w:szCs w:val="18"/>
        </w:rPr>
        <w:t>"</w:t>
      </w:r>
      <w:r w:rsidRPr="00BD00FB">
        <w:rPr>
          <w:sz w:val="20"/>
        </w:rPr>
        <w:t>2012 sixth Latin America Conference and Exposition Transmission and Distribution,</w:t>
      </w:r>
      <w:r w:rsidRPr="00BD00FB">
        <w:rPr>
          <w:noProof/>
          <w:sz w:val="18"/>
          <w:szCs w:val="18"/>
        </w:rPr>
        <w:t>"</w:t>
      </w:r>
      <w:r w:rsidRPr="00BD00FB">
        <w:rPr>
          <w:sz w:val="20"/>
        </w:rPr>
        <w:t xml:space="preserve"> pp. 1-5, 3-5 September 2012.</w:t>
      </w:r>
    </w:p>
    <w:p w:rsidR="00C361CB" w:rsidRPr="00BD00FB" w:rsidRDefault="00C361CB" w:rsidP="00C361CB">
      <w:pPr>
        <w:pStyle w:val="references"/>
        <w:spacing w:after="50" w:line="240" w:lineRule="auto"/>
        <w:rPr>
          <w:sz w:val="20"/>
        </w:rPr>
      </w:pPr>
      <w:r w:rsidRPr="00BD00FB">
        <w:rPr>
          <w:sz w:val="20"/>
        </w:rPr>
        <w:t xml:space="preserve">Alhajri, M.F, El-Hawary, M.E. </w:t>
      </w:r>
      <w:r w:rsidRPr="00BD00FB">
        <w:rPr>
          <w:noProof/>
          <w:sz w:val="18"/>
          <w:szCs w:val="18"/>
        </w:rPr>
        <w:t>"</w:t>
      </w:r>
      <w:r w:rsidRPr="00BD00FB">
        <w:rPr>
          <w:sz w:val="20"/>
        </w:rPr>
        <w:t>Improving the voltage profile of distribution networks using multiple distribution generation sources,</w:t>
      </w:r>
      <w:r w:rsidRPr="00BD00FB">
        <w:rPr>
          <w:noProof/>
          <w:sz w:val="18"/>
          <w:szCs w:val="18"/>
        </w:rPr>
        <w:t>"</w:t>
      </w:r>
      <w:r w:rsidRPr="00BD00FB">
        <w:rPr>
          <w:sz w:val="20"/>
        </w:rPr>
        <w:t xml:space="preserve"> 2007 Large Engineering Systems Conference on Power Engineering, pp.295-299, 10-12 October 2007.</w:t>
      </w:r>
    </w:p>
    <w:p w:rsidR="00C361CB" w:rsidRPr="00BD00FB" w:rsidRDefault="00C361CB" w:rsidP="00C361CB">
      <w:pPr>
        <w:pStyle w:val="references"/>
        <w:spacing w:after="50" w:line="240" w:lineRule="auto"/>
        <w:rPr>
          <w:sz w:val="20"/>
        </w:rPr>
      </w:pPr>
      <w:r w:rsidRPr="00BD00FB">
        <w:rPr>
          <w:sz w:val="20"/>
        </w:rPr>
        <w:t xml:space="preserve">Blaabjerg, F., Ke Ma, </w:t>
      </w:r>
      <w:r w:rsidRPr="00BD00FB">
        <w:rPr>
          <w:noProof/>
          <w:sz w:val="18"/>
          <w:szCs w:val="18"/>
        </w:rPr>
        <w:t>"</w:t>
      </w:r>
      <w:r w:rsidRPr="00BD00FB">
        <w:rPr>
          <w:sz w:val="20"/>
        </w:rPr>
        <w:t>Future on power electronics for wind turbine systems</w:t>
      </w:r>
      <w:r w:rsidRPr="00BD00FB">
        <w:rPr>
          <w:noProof/>
          <w:sz w:val="18"/>
          <w:szCs w:val="18"/>
        </w:rPr>
        <w:t>"</w:t>
      </w:r>
      <w:r w:rsidRPr="00BD00FB">
        <w:rPr>
          <w:sz w:val="20"/>
        </w:rPr>
        <w:t>, IEEE Journal of Emerging and Selected Topics in Power Electronics Vol 1, Issue 3, pp. 139-152, 2 August 2013.</w:t>
      </w:r>
    </w:p>
    <w:p w:rsidR="00C361CB" w:rsidRDefault="00C361CB" w:rsidP="00C361CB">
      <w:pPr>
        <w:pStyle w:val="references"/>
        <w:spacing w:after="50" w:line="240" w:lineRule="auto"/>
        <w:rPr>
          <w:sz w:val="20"/>
        </w:rPr>
      </w:pPr>
      <w:r w:rsidRPr="00BD00FB">
        <w:rPr>
          <w:sz w:val="20"/>
        </w:rPr>
        <w:t xml:space="preserve">D’Annunzio, C., Santoso, S. </w:t>
      </w:r>
      <w:r w:rsidRPr="00BD00FB">
        <w:rPr>
          <w:noProof/>
          <w:sz w:val="18"/>
          <w:szCs w:val="18"/>
        </w:rPr>
        <w:t>"</w:t>
      </w:r>
      <w:r w:rsidRPr="00BD00FB">
        <w:rPr>
          <w:sz w:val="20"/>
        </w:rPr>
        <w:t>Wind turbine generation reliability analysis and modeling,</w:t>
      </w:r>
      <w:r w:rsidRPr="00BD00FB">
        <w:rPr>
          <w:noProof/>
          <w:sz w:val="18"/>
          <w:szCs w:val="18"/>
        </w:rPr>
        <w:t>"</w:t>
      </w:r>
      <w:r w:rsidRPr="00BD00FB">
        <w:rPr>
          <w:sz w:val="20"/>
        </w:rPr>
        <w:t xml:space="preserve"> IEEE Power Engineering Society Meeting, pp.35-39, Sanfrancisco, CA, USA 2005.</w:t>
      </w:r>
    </w:p>
    <w:p w:rsidR="00CE59ED" w:rsidRDefault="00CE59ED"/>
    <w:sectPr w:rsidR="00CE59ED" w:rsidSect="00F95435">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61CB"/>
    <w:rsid w:val="001E7A66"/>
    <w:rsid w:val="004D1205"/>
    <w:rsid w:val="00C361CB"/>
    <w:rsid w:val="00CE59ED"/>
    <w:rsid w:val="00F95435"/>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5">
    <w:name w:val="heading 5"/>
    <w:basedOn w:val="Normal"/>
    <w:next w:val="Normal"/>
    <w:link w:val="Heading5Char"/>
    <w:qFormat/>
    <w:rsid w:val="00C361CB"/>
    <w:pPr>
      <w:bidi w:val="0"/>
      <w:spacing w:before="240" w:after="60" w:line="240" w:lineRule="auto"/>
      <w:outlineLvl w:val="4"/>
    </w:pPr>
    <w:rPr>
      <w:rFonts w:ascii="Times New Roman" w:eastAsia="Times New Roman" w:hAnsi="Times New Roman" w:cs="Times New Roman"/>
      <w:b/>
      <w:bCs/>
      <w:i/>
      <w:iCs/>
      <w:sz w:val="26"/>
      <w:szCs w:val="26"/>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C361CB"/>
    <w:rPr>
      <w:rFonts w:ascii="Times New Roman" w:eastAsia="Times New Roman" w:hAnsi="Times New Roman" w:cs="Times New Roman"/>
      <w:b/>
      <w:bCs/>
      <w:i/>
      <w:iCs/>
      <w:sz w:val="26"/>
      <w:szCs w:val="26"/>
      <w:lang w:bidi="ar-SA"/>
    </w:rPr>
  </w:style>
  <w:style w:type="paragraph" w:customStyle="1" w:styleId="references">
    <w:name w:val="references"/>
    <w:uiPriority w:val="99"/>
    <w:rsid w:val="00C361CB"/>
    <w:pPr>
      <w:numPr>
        <w:numId w:val="1"/>
      </w:numPr>
      <w:spacing w:after="40" w:line="180" w:lineRule="exact"/>
      <w:jc w:val="both"/>
    </w:pPr>
    <w:rPr>
      <w:rFonts w:ascii="Times New Roman" w:eastAsia="SimSun" w:hAnsi="Times New Roman" w:cs="Times New Roman"/>
      <w:sz w:val="16"/>
      <w:szCs w:val="20"/>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5">
    <w:name w:val="heading 5"/>
    <w:basedOn w:val="Normal"/>
    <w:next w:val="Normal"/>
    <w:link w:val="Heading5Char"/>
    <w:qFormat/>
    <w:rsid w:val="00C361CB"/>
    <w:pPr>
      <w:bidi w:val="0"/>
      <w:spacing w:before="240" w:after="60" w:line="240" w:lineRule="auto"/>
      <w:outlineLvl w:val="4"/>
    </w:pPr>
    <w:rPr>
      <w:rFonts w:ascii="Times New Roman" w:eastAsia="Times New Roman" w:hAnsi="Times New Roman" w:cs="Times New Roman"/>
      <w:b/>
      <w:bCs/>
      <w:i/>
      <w:iCs/>
      <w:sz w:val="26"/>
      <w:szCs w:val="26"/>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C361CB"/>
    <w:rPr>
      <w:rFonts w:ascii="Times New Roman" w:eastAsia="Times New Roman" w:hAnsi="Times New Roman" w:cs="Times New Roman"/>
      <w:b/>
      <w:bCs/>
      <w:i/>
      <w:iCs/>
      <w:sz w:val="26"/>
      <w:szCs w:val="26"/>
      <w:lang w:bidi="ar-SA"/>
    </w:rPr>
  </w:style>
  <w:style w:type="paragraph" w:customStyle="1" w:styleId="references">
    <w:name w:val="references"/>
    <w:uiPriority w:val="99"/>
    <w:rsid w:val="00C361CB"/>
    <w:pPr>
      <w:numPr>
        <w:numId w:val="1"/>
      </w:numPr>
      <w:spacing w:after="40" w:line="180" w:lineRule="exact"/>
      <w:jc w:val="both"/>
    </w:pPr>
    <w:rPr>
      <w:rFonts w:ascii="Times New Roman" w:eastAsia="SimSun" w:hAnsi="Times New Roman" w:cs="Times New Roman"/>
      <w:sz w:val="16"/>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eeexplore.ieee.org/xpl/conhome/7895507/proceedin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646</Words>
  <Characters>3684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pentium</dc:creator>
  <cp:lastModifiedBy>pentium</cp:lastModifiedBy>
  <cp:revision>2</cp:revision>
  <dcterms:created xsi:type="dcterms:W3CDTF">2019-06-30T10:58:00Z</dcterms:created>
  <dcterms:modified xsi:type="dcterms:W3CDTF">2019-06-30T10:58:00Z</dcterms:modified>
</cp:coreProperties>
</file>