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28" w:name="_GoBack"/>
      <w:bookmarkEnd w:id="28"/>
      <w:r>
        <w:rPr>
          <w:b/>
        </w:rPr>
        <w:t xml:space="preserve">EVALUATION AND EFFECTIVENESS OF REALLOCATING TRAFFIC SIGNAL TIMING AT CORRIDORS WITH </w:t>
      </w:r>
    </w:p>
    <w:p>
      <w:pPr>
        <w:jc w:val="center"/>
        <w:rPr>
          <w:b/>
        </w:rPr>
      </w:pPr>
      <w:r>
        <w:rPr>
          <w:b/>
        </w:rPr>
        <w:t>HIGH FREIGHT VOLUME</w:t>
      </w:r>
    </w:p>
    <w:p/>
    <w:p>
      <w:r>
        <w:t>Ijeoma Ihuoma-Walter, Ph.D. (corresponding author)</w:t>
      </w:r>
    </w:p>
    <w:p>
      <w:r>
        <w:t xml:space="preserve">Civil Engineering Department </w:t>
      </w:r>
    </w:p>
    <w:p>
      <w:r>
        <w:t>Morgan State University</w:t>
      </w:r>
    </w:p>
    <w:p>
      <w:r>
        <w:t>1700 East Cold Spring Lane, Baltimore, MD 21251</w:t>
      </w:r>
    </w:p>
    <w:p>
      <w:pPr>
        <w:rPr>
          <w:lang w:val="fr-FR"/>
        </w:rPr>
      </w:pPr>
      <w:r>
        <w:rPr>
          <w:lang w:val="fr-FR"/>
        </w:rPr>
        <w:t xml:space="preserve">Email: </w:t>
      </w:r>
      <w:r>
        <w:fldChar w:fldCharType="begin"/>
      </w:r>
      <w:r>
        <w:instrText xml:space="preserve"> HYPERLINK "mailto:ijmarian@yahoo.com" </w:instrText>
      </w:r>
      <w:r>
        <w:fldChar w:fldCharType="separate"/>
      </w:r>
      <w:r>
        <w:rPr>
          <w:rStyle w:val="58"/>
          <w:lang w:val="fr-FR"/>
        </w:rPr>
        <w:t>ijmarian@yahoo.com</w:t>
      </w:r>
      <w:r>
        <w:rPr>
          <w:rStyle w:val="58"/>
          <w:lang w:val="fr-FR"/>
        </w:rPr>
        <w:fldChar w:fldCharType="end"/>
      </w:r>
      <w:r>
        <w:rPr>
          <w:lang w:val="fr-FR"/>
        </w:rPr>
        <w:t xml:space="preserve">; </w:t>
      </w:r>
      <w:r>
        <w:fldChar w:fldCharType="begin"/>
      </w:r>
      <w:r>
        <w:instrText xml:space="preserve"> HYPERLINK "mailto:ijihu1@morgan.edu" </w:instrText>
      </w:r>
      <w:r>
        <w:fldChar w:fldCharType="separate"/>
      </w:r>
      <w:r>
        <w:rPr>
          <w:rStyle w:val="58"/>
          <w:lang w:val="fr-FR"/>
        </w:rPr>
        <w:t>ijihu1@morgan.edu</w:t>
      </w:r>
      <w:r>
        <w:rPr>
          <w:rStyle w:val="58"/>
          <w:lang w:val="fr-FR"/>
        </w:rPr>
        <w:fldChar w:fldCharType="end"/>
      </w:r>
    </w:p>
    <w:p>
      <w:pPr>
        <w:rPr>
          <w:lang w:val="fr-FR"/>
        </w:rPr>
      </w:pPr>
      <w:r>
        <w:rPr>
          <w:lang w:val="fr-FR"/>
        </w:rPr>
        <w:t>ORCiD :</w:t>
      </w:r>
      <w:r>
        <w:rPr>
          <w:rStyle w:val="54"/>
          <w:b w:val="0"/>
          <w:color w:val="000000"/>
          <w:spacing w:val="8"/>
          <w:shd w:val="clear" w:color="auto" w:fill="FFFFFF"/>
        </w:rPr>
        <w:t>0000-0002-5076-010X</w:t>
      </w:r>
    </w:p>
    <w:p>
      <w:pPr>
        <w:rPr>
          <w:lang w:val="fr-FR"/>
        </w:rPr>
      </w:pPr>
    </w:p>
    <w:p>
      <w:r>
        <w:t>Celeste Chavis, Ph.D. (coauthor)</w:t>
      </w:r>
    </w:p>
    <w:p>
      <w:r>
        <w:t>Transportation and Urban Infrastructure Studies</w:t>
      </w:r>
    </w:p>
    <w:p>
      <w:r>
        <w:t>Morgan State University</w:t>
      </w:r>
    </w:p>
    <w:p>
      <w:r>
        <w:t>1700 East Cold Spring Lane, Baltimore, MD 21251</w:t>
      </w:r>
    </w:p>
    <w:p>
      <w:pPr>
        <w:rPr>
          <w:lang w:val="fr-FR"/>
        </w:rPr>
      </w:pPr>
      <w:r>
        <w:rPr>
          <w:lang w:val="fr-FR"/>
        </w:rPr>
        <w:t xml:space="preserve">Email : </w:t>
      </w:r>
      <w:r>
        <w:fldChar w:fldCharType="begin"/>
      </w:r>
      <w:r>
        <w:instrText xml:space="preserve"> HYPERLINK "mailto:celeste.chavis@morgan.edu" </w:instrText>
      </w:r>
      <w:r>
        <w:fldChar w:fldCharType="separate"/>
      </w:r>
      <w:r>
        <w:rPr>
          <w:rStyle w:val="58"/>
          <w:lang w:val="fr-FR"/>
        </w:rPr>
        <w:t>celeste.chavis@morgan.edu</w:t>
      </w:r>
      <w:r>
        <w:rPr>
          <w:rStyle w:val="58"/>
          <w:lang w:val="fr-FR"/>
        </w:rPr>
        <w:fldChar w:fldCharType="end"/>
      </w:r>
      <w:r>
        <w:rPr>
          <w:lang w:val="fr-FR"/>
        </w:rPr>
        <w:t xml:space="preserve"> </w:t>
      </w:r>
    </w:p>
    <w:p>
      <w:pPr>
        <w:rPr>
          <w:lang w:val="fr-FR"/>
        </w:rPr>
      </w:pPr>
      <w:r>
        <w:rPr>
          <w:lang w:val="fr-FR"/>
        </w:rPr>
        <w:t>ORCiD : 0000-0002-3737-2364</w:t>
      </w:r>
    </w:p>
    <w:p/>
    <w:p>
      <w:r>
        <w:t>Adewole Oladele, Ph.D.(coauthor)</w:t>
      </w:r>
    </w:p>
    <w:p>
      <w:r>
        <w:t>Civil Engineering Department</w:t>
      </w:r>
    </w:p>
    <w:p>
      <w:r>
        <w:t>Morgan State University</w:t>
      </w:r>
    </w:p>
    <w:p>
      <w:r>
        <w:t>1700 East Cold Spring Lane, Baltimore, MD 21251</w:t>
      </w:r>
    </w:p>
    <w:p>
      <w:pPr>
        <w:rPr>
          <w:lang w:val="fr-FR"/>
        </w:rPr>
      </w:pPr>
      <w:r>
        <w:rPr>
          <w:lang w:val="fr-FR"/>
        </w:rPr>
        <w:t xml:space="preserve">Email : </w:t>
      </w:r>
      <w:r>
        <w:fldChar w:fldCharType="begin"/>
      </w:r>
      <w:r>
        <w:instrText xml:space="preserve"> HYPERLINK "mailto:adewolesimon.oladele@morgan.edu" </w:instrText>
      </w:r>
      <w:r>
        <w:fldChar w:fldCharType="separate"/>
      </w:r>
      <w:r>
        <w:rPr>
          <w:rStyle w:val="58"/>
          <w:lang w:val="fr-FR"/>
        </w:rPr>
        <w:t>adewolesimon.oladele@morgan.edu</w:t>
      </w:r>
      <w:r>
        <w:rPr>
          <w:rStyle w:val="58"/>
          <w:lang w:val="fr-FR"/>
        </w:rPr>
        <w:fldChar w:fldCharType="end"/>
      </w:r>
      <w:r>
        <w:rPr>
          <w:lang w:val="fr-FR"/>
        </w:rPr>
        <w:t xml:space="preserve"> </w:t>
      </w:r>
    </w:p>
    <w:p>
      <w:r>
        <w:t>ORCiD: 0000-0003-3588-4312</w:t>
      </w:r>
    </w:p>
    <w:p>
      <w:pPr>
        <w:pStyle w:val="3"/>
        <w:rPr>
          <w:lang w:eastAsia="en-US"/>
        </w:rPr>
      </w:pPr>
      <w:r>
        <w:t>Abstract</w:t>
      </w:r>
    </w:p>
    <w:p>
      <w:pPr>
        <w:widowControl/>
        <w:rPr>
          <w:color w:val="000000"/>
          <w:szCs w:val="20"/>
          <w:lang w:val="en-GB"/>
        </w:rPr>
      </w:pPr>
      <w:r>
        <w:rPr>
          <w:color w:val="000000"/>
          <w:szCs w:val="20"/>
          <w:lang w:val="en-GB"/>
        </w:rPr>
        <w:t xml:space="preserve">The COVID-19 pandemic drastically altered traffic patterns across the globe. With more people staying at home and relying on delivery services, there was a reduction in passenger car traffic but an increase in freight traffic. This study investigates the changes in traffic volume and mode splits during the COVID-19 pandemic at the intersection of Broening Highway and Holabird Avenues and investigates traffic signal reallocation strategies that account for the changes in traffic. </w:t>
      </w:r>
      <w:r>
        <w:rPr>
          <w:rFonts w:eastAsia="宋体"/>
          <w:szCs w:val="20"/>
          <w:lang w:val="en-GB"/>
        </w:rPr>
        <w:t>This study considers morning peak traffic volumes before and during COVID. A methodology was developed to evaluate and measure freight volumes and emissions. From the literature, the cost per kilogram of CO, VOC, and NOx was $5.85, $3,37, and $12.53, respectively.</w:t>
      </w:r>
    </w:p>
    <w:p>
      <w:pPr>
        <w:widowControl/>
        <w:rPr>
          <w:color w:val="000000"/>
          <w:szCs w:val="20"/>
          <w:lang w:val="en-GB"/>
        </w:rPr>
      </w:pPr>
      <w:r>
        <w:rPr>
          <w:color w:val="000000"/>
          <w:szCs w:val="20"/>
          <w:lang w:val="en-GB"/>
        </w:rPr>
        <w:t>The intersection operated at a level of service (LOS) of C both pre-COVID and during COVID. Traffic volume decreased by 24.3% during COVID at the study location;</w:t>
      </w:r>
      <w:r>
        <w:rPr>
          <w:rFonts w:eastAsia="宋体"/>
          <w:szCs w:val="20"/>
          <w:lang w:val="en-GB"/>
        </w:rPr>
        <w:t xml:space="preserve"> car volumes declined by 50%, and truck volumes increased by 130%. The total rate of emissions decreased by 22.6%. </w:t>
      </w:r>
    </w:p>
    <w:p/>
    <w:p>
      <w:pPr>
        <w:widowControl/>
        <w:rPr>
          <w:rFonts w:eastAsia="宋体"/>
          <w:bCs/>
          <w:szCs w:val="20"/>
          <w:lang w:val="en-GB"/>
        </w:rPr>
      </w:pPr>
      <w:r>
        <w:rPr>
          <w:b/>
        </w:rPr>
        <w:t>Keywords:</w:t>
      </w:r>
      <w:r>
        <w:t xml:space="preserve"> </w:t>
      </w:r>
      <w:r>
        <w:rPr>
          <w:rFonts w:eastAsia="宋体"/>
          <w:bCs/>
          <w:szCs w:val="20"/>
          <w:lang w:val="en-GB"/>
        </w:rPr>
        <w:t>Multi-modal transportation, Signalized Intersection, Freight, Vehicle and persons delay, COVID, Value of time.</w:t>
      </w:r>
    </w:p>
    <w:p>
      <w:pPr>
        <w:widowControl/>
      </w:pPr>
    </w:p>
    <w:p>
      <w:pPr>
        <w:pStyle w:val="3"/>
      </w:pPr>
      <w:r>
        <w:t>introduction</w:t>
      </w:r>
    </w:p>
    <w:p>
      <w:pPr>
        <w:rPr>
          <w:rFonts w:eastAsia="Times New Roman"/>
          <w:color w:val="000000" w:themeColor="text1"/>
          <w:szCs w:val="20"/>
          <w14:textFill>
            <w14:solidFill>
              <w14:schemeClr w14:val="tx1"/>
            </w14:solidFill>
          </w14:textFill>
        </w:rPr>
      </w:pPr>
      <w:r>
        <w:rPr>
          <w:rFonts w:eastAsia="Times New Roman"/>
          <w:color w:val="000000" w:themeColor="text1"/>
          <w:szCs w:val="20"/>
          <w14:textFill>
            <w14:solidFill>
              <w14:schemeClr w14:val="tx1"/>
            </w14:solidFill>
          </w14:textFill>
        </w:rPr>
        <w:t>The United States is currently experiencing a rise in emerging technology advancement and a shift of businesses to e-commerce. Densely populated urban areas are suddenly becoming aware of these changes and are adopting emerging technology advancements into their daily lives and increasing their inventory of goods online and demanding quick delivery of goods ordered online, often within 24 hours. The COVID-19 pandemic has further fueled e-commerce industries to change their distribution model to support these improvements suddenly. The distribution model improvements are causing an increase in heavy-duty freight trucks on the roadways. Hence, the inclusion of heavy-duty freight truck in traffic signal allocation at intersections to reduce delay is paramount because</w:t>
      </w:r>
      <w:r>
        <w:rPr>
          <w:rFonts w:eastAsia="Times New Roman"/>
          <w:color w:val="000000"/>
          <w:szCs w:val="20"/>
        </w:rPr>
        <w:t xml:space="preserve"> the exhaust emission released is higher for freight truck during signal delay at the intersection. </w:t>
      </w:r>
      <w:r>
        <w:t xml:space="preserve">Conversely, the demand for transportation and logistics in certain sectors such as e-commerce has surged </w:t>
      </w:r>
      <w:r>
        <w:rPr>
          <w:vertAlign w:val="superscript"/>
        </w:rPr>
        <w:fldChar w:fldCharType="begin"/>
      </w:r>
      <w:r>
        <w:rPr>
          <w:vertAlign w:val="superscript"/>
        </w:rPr>
        <w:instrText xml:space="preserve"> ADDIN ZOTERO_ITEM CSL_CITATION {"citationID":"5JWAJw65","properties":{"formattedCitation":"(Hendrickson &amp; Rilett, 2020)","plainCitation":"(Hendrickson &amp; Rilett, 2020)","dontUpdate":true,"noteIndex":0},"citationItems":[{"id":101,"uris":["http://zotero.org/users/6622193/items/BWFAPGIF"],"uri":["http://zotero.org/users/6622193/items/BWFAPGIF"],"itemData":{"id":101,"type":"article-journal","abstract":"Sponsored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[1]</w:t>
      </w:r>
      <w:r>
        <w:rPr>
          <w:vertAlign w:val="superscript"/>
        </w:rPr>
        <w:fldChar w:fldCharType="end"/>
      </w:r>
      <w:r>
        <w:t xml:space="preserve"> . Hence, the COVID-19 pandemic has dramatically illustrated the need for transportation professionals to prepare for future disruptions </w:t>
      </w:r>
      <w:r>
        <w:rPr>
          <w:vertAlign w:val="superscript"/>
        </w:rPr>
        <w:fldChar w:fldCharType="begin"/>
      </w:r>
      <w:r>
        <w:rPr>
          <w:vertAlign w:val="superscript"/>
        </w:rPr>
        <w:instrText xml:space="preserve"> ADDIN ZOTERO_ITEM CSL_CITATION {"citationID":"3fuC1M3n","properties":{"formattedCitation":"(Hendrickson &amp; Rilett, 2020)","plainCitation":"(Hendrickson &amp; Rilett, 2020)","noteIndex":0},"citationItems":[{"id":101,"uris":["http://zotero.org/users/6622193/items/BWFAPGIF"],"uri":["http://zotero.org/users/6622193/items/BWFAPGIF"],"itemData":{"id":101,"type":"article-journal","abstract":"Sponsored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[1]</w:t>
      </w:r>
      <w:r>
        <w:rPr>
          <w:vertAlign w:val="superscript"/>
        </w:rPr>
        <w:fldChar w:fldCharType="end"/>
      </w:r>
      <w:r>
        <w:t xml:space="preserve">. </w:t>
      </w:r>
      <w:r>
        <w:rPr>
          <w:rFonts w:eastAsia="Times New Roman"/>
          <w:color w:val="000000"/>
          <w:szCs w:val="20"/>
        </w:rPr>
        <w:t xml:space="preserve">This research used traffic volumes to evaluate the disruption in traffic volumes and surge in freight traffic volumes and suggest the need to reallocate signal timing in corridors with high volumes of freight truck to reflect changes in COVID and post COVID volumes at intersection due to the surge in heavy-duty freight trucks. </w:t>
      </w:r>
    </w:p>
    <w:p>
      <w:pPr>
        <w:rPr>
          <w:rFonts w:eastAsia="Times New Roman"/>
          <w:color w:val="000000"/>
          <w:szCs w:val="20"/>
        </w:rPr>
      </w:pPr>
    </w:p>
    <w:p>
      <w:pPr>
        <w:rPr>
          <w:rFonts w:eastAsia="Times New Roman"/>
          <w:color w:val="000000"/>
          <w:szCs w:val="20"/>
        </w:rPr>
      </w:pPr>
      <w:r>
        <w:rPr>
          <w:rFonts w:eastAsia="Times New Roman"/>
          <w:color w:val="000000"/>
          <w:szCs w:val="20"/>
        </w:rPr>
        <w:t xml:space="preserve">The solution seeks to minimize delay and analyze performance measures for reducing emission at the intersection through traffic signal reallocation. This research focused on the need to reallocate traffic signals that can be applied to any intersection corridor with a high volume of freight truck traffic. Existing data from Maryland State Highway Administration, Maryland Ports Administration and Maryland Transportation Authority. The study area is located at the intersection of Broening Highway and Holabird Avenue in Baltimore, Maryland. An Amazon facility is located along this corridor, contributing to the volume of heavy-duty freight truck traffic. </w:t>
      </w:r>
    </w:p>
    <w:p>
      <w:pPr>
        <w:rPr>
          <w:lang w:eastAsia="en-US"/>
        </w:rPr>
      </w:pPr>
    </w:p>
    <w:p>
      <w:pPr>
        <w:pStyle w:val="4"/>
      </w:pPr>
      <w:r>
        <w:t>Study Area</w:t>
      </w:r>
    </w:p>
    <w:p>
      <w:pPr>
        <w:rPr>
          <w:lang w:eastAsia="en-US"/>
        </w:rPr>
      </w:pPr>
      <w:r>
        <w:t xml:space="preserve">The study area is at the intersection of Holabird Avenue and Broening Highway, located in Baltimore City. The Amazon Fulfilment Center is located along Holabird Avenue and Broening Highway, as well as other industries. This intersection is one mile from the Port of Baltimore. </w:t>
      </w:r>
      <w:r>
        <w:fldChar w:fldCharType="begin"/>
      </w:r>
      <w:r>
        <w:instrText xml:space="preserve"> REF _Ref100922957 \h  \* MERGEFORMAT </w:instrText>
      </w:r>
      <w:r>
        <w:fldChar w:fldCharType="separate"/>
      </w:r>
      <w:r>
        <w:rPr>
          <w:rFonts w:eastAsia="Calibri"/>
          <w:bCs/>
        </w:rPr>
        <w:t>Figure 1</w:t>
      </w:r>
      <w:r>
        <w:fldChar w:fldCharType="end"/>
      </w:r>
      <w:r>
        <w:rPr>
          <w:b/>
        </w:rPr>
        <w:t xml:space="preserve"> </w:t>
      </w:r>
      <w:r>
        <w:rPr>
          <w:lang w:eastAsia="en-US"/>
        </w:rPr>
        <w:t xml:space="preserve">shows the study area Holabird Avenue and Broening Highway. The traffic data showed a significant increase of vehicle and truck traffic from 2008-2011 to 2012-2016. The Amazon Fulfillment Center, which opened in 2012, is located on Holabird Avenue in Baltimore, and it operates a 24 hours’ freight services. Prior to 2012, the AADT for Holabird Avenue-.10 MI W of Broening Hwy traffic volume is 12,911 in 2008 and increase to 14,898 in 2011. After 2011, the AADT traffic data increased from 14,772 in 2012 to 17,330 in 2016, while the truck traffic data for this location is 3781. The significant traffic increase from 2008 to 2016 is due to the opening of the Amazon Fulfillment Center in 2012. </w:t>
      </w:r>
      <w:r>
        <w:rPr>
          <w:lang w:eastAsia="en-US"/>
        </w:rPr>
        <w:fldChar w:fldCharType="begin"/>
      </w:r>
      <w:r>
        <w:rPr>
          <w:lang w:eastAsia="en-US"/>
        </w:rPr>
        <w:instrText xml:space="preserve"> REF _Ref78276386 \h </w:instrText>
      </w:r>
      <w:r>
        <w:rPr>
          <w:lang w:eastAsia="en-US"/>
        </w:rPr>
        <w:fldChar w:fldCharType="separate"/>
      </w:r>
      <w:r>
        <w:t>Figure 2</w:t>
      </w:r>
      <w:r>
        <w:rPr>
          <w:lang w:eastAsia="en-US"/>
        </w:rPr>
        <w:fldChar w:fldCharType="end"/>
      </w:r>
      <w:r>
        <w:rPr>
          <w:lang w:eastAsia="en-US"/>
        </w:rPr>
        <w:t xml:space="preserve"> and </w:t>
      </w:r>
      <w:r>
        <w:rPr>
          <w:lang w:eastAsia="en-US"/>
        </w:rPr>
        <w:fldChar w:fldCharType="begin"/>
      </w:r>
      <w:r>
        <w:rPr>
          <w:lang w:eastAsia="en-US"/>
        </w:rPr>
        <w:instrText xml:space="preserve"> REF _Ref69237044 \h </w:instrText>
      </w:r>
      <w:r>
        <w:rPr>
          <w:lang w:eastAsia="en-US"/>
        </w:rPr>
        <w:fldChar w:fldCharType="separate"/>
      </w:r>
      <w:r>
        <w:t>Figure 3</w:t>
      </w:r>
      <w:r>
        <w:rPr>
          <w:lang w:eastAsia="en-US"/>
        </w:rPr>
        <w:fldChar w:fldCharType="end"/>
      </w:r>
      <w:r>
        <w:rPr>
          <w:lang w:eastAsia="en-US"/>
        </w:rPr>
        <w:t xml:space="preserve"> show stacked bar charts by vehicle class volume for the years 2010 and 2016. </w:t>
      </w:r>
    </w:p>
    <w:p>
      <w:pPr>
        <w:rPr>
          <w:b/>
        </w:rPr>
      </w:pPr>
    </w:p>
    <w:p>
      <w:pPr>
        <w:pStyle w:val="50"/>
        <w:ind w:left="960" w:hanging="480"/>
      </w:pPr>
      <w:r>
        <w:drawing>
          <wp:inline distT="0" distB="0" distL="0" distR="0">
            <wp:extent cx="3076575" cy="1664970"/>
            <wp:effectExtent l="0" t="0" r="0" b="0"/>
            <wp:docPr id="58" name="Picture 58" descr="C:\Users\SOE_Student\Documents\study area map update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C:\Users\SOE_Student\Documents\study area map updated .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1985" cy="1689894"/>
                    </a:xfrm>
                    <a:prstGeom prst="rect">
                      <a:avLst/>
                    </a:prstGeom>
                  </pic:spPr>
                </pic:pic>
              </a:graphicData>
            </a:graphic>
          </wp:inline>
        </w:drawing>
      </w:r>
    </w:p>
    <w:p>
      <w:pPr>
        <w:pStyle w:val="50"/>
        <w:spacing w:line="240" w:lineRule="auto"/>
        <w:ind w:firstLine="0"/>
        <w:rPr>
          <w:rFonts w:eastAsia="Calibri"/>
          <w:b/>
          <w:bCs/>
          <w:szCs w:val="24"/>
        </w:rPr>
      </w:pPr>
      <w:bookmarkStart w:id="0" w:name="_Ref100922957"/>
      <w:r>
        <w:rPr>
          <w:rFonts w:eastAsia="Calibri"/>
          <w:b/>
          <w:bCs/>
          <w:szCs w:val="24"/>
        </w:rPr>
        <w:t xml:space="preserve">FIGURE </w:t>
      </w:r>
      <w:r>
        <w:fldChar w:fldCharType="begin"/>
      </w:r>
      <w:r>
        <w:rPr>
          <w:rFonts w:eastAsia="Calibri"/>
          <w:b/>
          <w:bCs/>
          <w:szCs w:val="24"/>
        </w:rPr>
        <w:instrText xml:space="preserve"> SEQ Figure \* ARABIC </w:instrText>
      </w:r>
      <w:r>
        <w:fldChar w:fldCharType="separate"/>
      </w:r>
      <w:r>
        <w:rPr>
          <w:rFonts w:eastAsia="Calibri"/>
          <w:b/>
          <w:bCs/>
          <w:szCs w:val="24"/>
        </w:rPr>
        <w:t>1</w:t>
      </w:r>
      <w:r>
        <w:fldChar w:fldCharType="end"/>
      </w:r>
      <w:r>
        <w:rPr>
          <w:rFonts w:eastAsia="Calibri"/>
          <w:b/>
          <w:bCs/>
          <w:szCs w:val="24"/>
        </w:rPr>
        <w:t>.  Study Area</w:t>
      </w:r>
      <w:bookmarkEnd w:id="0"/>
      <w:r>
        <w:rPr>
          <w:rFonts w:eastAsia="Calibri"/>
          <w:b/>
          <w:bCs/>
          <w:szCs w:val="24"/>
        </w:rPr>
        <w:t xml:space="preserve"> </w:t>
      </w:r>
    </w:p>
    <w:p>
      <w:pPr>
        <w:pStyle w:val="50"/>
        <w:spacing w:line="240" w:lineRule="auto"/>
        <w:ind w:firstLine="0"/>
        <w:rPr>
          <w:rFonts w:ascii="Times New Roman" w:hAnsi="Times New Roman" w:eastAsia="MS Mincho" w:cs="Times New Roman"/>
          <w:kern w:val="2"/>
          <w:sz w:val="24"/>
          <w:szCs w:val="24"/>
        </w:rPr>
      </w:pPr>
    </w:p>
    <w:p>
      <w:pPr>
        <w:pStyle w:val="50"/>
        <w:ind w:left="960" w:hanging="480"/>
      </w:pPr>
      <w:r>
        <w:drawing>
          <wp:inline distT="0" distB="0" distL="0" distR="0">
            <wp:extent cx="5934075" cy="27717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7"/>
      </w:pPr>
      <w:bookmarkStart w:id="1" w:name="_Ref78276386"/>
      <w:bookmarkStart w:id="2" w:name="_Toc58922244"/>
      <w:bookmarkStart w:id="3" w:name="_Toc69199615"/>
      <w:bookmarkStart w:id="4" w:name="_Toc71649658"/>
      <w:r>
        <w:t xml:space="preserve">FIGURE </w:t>
      </w:r>
      <w:r>
        <w:fldChar w:fldCharType="begin"/>
      </w:r>
      <w:r>
        <w:instrText xml:space="preserve"> SEQ Figure \* ARABIC </w:instrText>
      </w:r>
      <w:r>
        <w:fldChar w:fldCharType="separate"/>
      </w:r>
      <w:r>
        <w:t>2</w:t>
      </w:r>
      <w:r>
        <w:fldChar w:fldCharType="end"/>
      </w:r>
      <w:bookmarkEnd w:id="1"/>
      <w:r>
        <w:t>. Class Volume Data for 2010</w:t>
      </w:r>
      <w:bookmarkEnd w:id="2"/>
      <w:bookmarkEnd w:id="3"/>
      <w:bookmarkEnd w:id="4"/>
    </w:p>
    <w:p>
      <w:pPr>
        <w:rPr>
          <w:lang w:eastAsia="en-US"/>
        </w:rPr>
      </w:pPr>
    </w:p>
    <w:p>
      <w:pPr>
        <w:pStyle w:val="50"/>
        <w:ind w:left="960" w:hanging="480"/>
      </w:pPr>
      <w:r>
        <w:drawing>
          <wp:inline distT="0" distB="0" distL="0" distR="0">
            <wp:extent cx="5915025" cy="296227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7"/>
      </w:pPr>
      <w:bookmarkStart w:id="5" w:name="_Ref69237044"/>
      <w:bookmarkStart w:id="6" w:name="_Toc69199616"/>
      <w:bookmarkStart w:id="7" w:name="_Toc71649659"/>
      <w:bookmarkStart w:id="8" w:name="_Toc58922245"/>
      <w:r>
        <w:t xml:space="preserve">FIGURE </w:t>
      </w:r>
      <w:r>
        <w:fldChar w:fldCharType="begin"/>
      </w:r>
      <w:r>
        <w:instrText xml:space="preserve">SEQ Figure \* ARABIC</w:instrText>
      </w:r>
      <w:r>
        <w:fldChar w:fldCharType="separate"/>
      </w:r>
      <w:r>
        <w:t>3</w:t>
      </w:r>
      <w:r>
        <w:fldChar w:fldCharType="end"/>
      </w:r>
      <w:bookmarkEnd w:id="5"/>
      <w:r>
        <w:t>. Class Volume Data for 2016</w:t>
      </w:r>
      <w:bookmarkEnd w:id="6"/>
      <w:bookmarkEnd w:id="7"/>
      <w:bookmarkEnd w:id="8"/>
    </w:p>
    <w:p>
      <w:pPr>
        <w:pStyle w:val="4"/>
      </w:pPr>
      <w:r>
        <w:t>Research Objective</w:t>
      </w:r>
    </w:p>
    <w:p>
      <w:r>
        <w:t xml:space="preserve">The purpose of this research is to analyze the change in traffic volume and modal splits during the COVID-19 pandemic using existing traffic data and signal timing at an intersection located along a multimodal corridor with a heavy volume of truck traffic. Specifically, the COVID-19 pandemic has caused an increase in e-commerce, thereby increasing the number of freight truck traffic on the road and decreasing passenger car volumes as a lot of employers are demanding their employees telework due to the COVID-19 pandemic. This study will aim at analyzing pre-COVID traffic data and COVID data to see the need to reallocate traffic signal as a result of the sudden change. This research used existing traffic data from bus and freight  truck transit agencies such as the MDOT SHA Traffic AADT Monitoring System to analyze freight truck service performance during pre-COVID and COVID. </w:t>
      </w:r>
    </w:p>
    <w:p/>
    <w:p>
      <w:r>
        <w:t>The research object will take the following form:</w:t>
      </w:r>
    </w:p>
    <w:p>
      <w:pPr>
        <w:pStyle w:val="88"/>
        <w:numPr>
          <w:ilvl w:val="0"/>
          <w:numId w:val="4"/>
        </w:numPr>
      </w:pPr>
      <w:r>
        <w:t xml:space="preserve">Evaluate the current traffic situation pre-COVID and COVID at the Holabird Avenue and Broening Highway Intersection near the Amazon Fulfillment Center. </w:t>
      </w:r>
    </w:p>
    <w:p>
      <w:pPr>
        <w:pStyle w:val="88"/>
        <w:numPr>
          <w:ilvl w:val="0"/>
          <w:numId w:val="4"/>
        </w:numPr>
      </w:pPr>
      <w:r>
        <w:t xml:space="preserve">Measure the effectiveness of reallocating traffic signal timing to meet the surge in freight truck volumes under mixed traffic conditions during current COVID-19 and pre-pandemic conditions.  </w:t>
      </w:r>
    </w:p>
    <w:p>
      <w:pPr>
        <w:pStyle w:val="3"/>
        <w:rPr>
          <w:lang w:eastAsia="en-US"/>
        </w:rPr>
      </w:pPr>
      <w:r>
        <w:rPr>
          <w:lang w:eastAsia="en-US"/>
        </w:rPr>
        <w:t>Literature REVIEW</w:t>
      </w:r>
    </w:p>
    <w:p>
      <w:pPr>
        <w:pStyle w:val="4"/>
      </w:pPr>
      <w:r>
        <w:t>Traffic Emissions at Intersection and Air Quality Models</w:t>
      </w:r>
    </w:p>
    <w:p>
      <w:r>
        <w:t>The operational performance at a signalized intersection could be assessed using various traffic performance measures of effectiveness (MOEs) for evaluating the intersection level of service such as average vehicle delays, number of stops, travel time, throughput and traffic capacity, queue length, average fuel consumption, and total vehicle emissions (CO, NOx, HC)</w:t>
      </w:r>
      <w:r>
        <w:rPr>
          <w:vertAlign w:val="superscript"/>
        </w:rPr>
        <w:t xml:space="preserve"> </w:t>
      </w:r>
      <w:r>
        <w:rPr>
          <w:vertAlign w:val="superscript"/>
        </w:rPr>
        <w:fldChar w:fldCharType="begin"/>
      </w:r>
      <w:r>
        <w:rPr>
          <w:vertAlign w:val="superscript"/>
        </w:rPr>
        <w:instrText xml:space="preserve"> ADDIN ZOTERO_ITEM CSL_CITATION {"citationID":"oDfny7pv","properties":{"formattedCitation":"(Al-Turki et al., 2020)","plainCitation":"(Al-Turki et al., 2020)","dontUpdate":true,"noteIndex":0},"citationItems":[{"id":112,"uris":["http://zotero.org/users/6622193/items/3NFM7PLG"],"uri":["http://zotero.org/users/6622193/items/3NFM7PLG"],"itemData":{"id":112,"type":"article-journal","abstract":"Intelligent traffic control at urban intersections is vital to ensure efficient and sustainable traffic operations. Urban road intersections are hotspots of congestion and traffic accidents. Poor traffic management at these locations could cause numerous issues, such as longer travel time, low travel speed, long vehicle queues, delays, increased fuel consumption, and environmental emissions, and so forth. Previous studies have shown that the mentioned traffic performance measures or measures of effectiveness (MOEs) could be significantly improved by adopting intelligent traffic control protocols. The majority of studies in this regard have focused on mono or bi-objective optimization with homogenous and lane-based traffic conditions. However, decision-makers often have to deal with multiple conflicting objectives to find an optimal solution under heterogeneous stochastic traffic conditions. Therefore, it is essential to determine the optimum decision plan that offers the least conflict among several objectives. Hence, the current study aimed to develop a multi-objective intelligent traffic control protocol based on the non-dominated sorting genetic algorithm II (NSGA-II) at isolated signalized intersections in the city of Dhahran, Kingdom of Saudi Arabia. The MOEs (optimization objectives) that were considered included average vehicle delay, the total number of vehicle stops, average fuel consumption, and vehicular emissions. NSGA-II simulations were run with different initial populations. The study results showed that the proposed method was effective in optimizing considered performance measures along the optimal Pareto front. MOEs were improved in the range of 16% to 23% compared to existing conditions. To assess the efficacy of the proposed approach, an optimization analysis was performed using a Synchro traffic light simulation and optimization tool. Although the Synchro optimization resulted in a relatively lower signal timing plan than NSGA-II, the proposed algorithm outperformed the Synchro optimization results in terms of percentage reduction in MOE values.","container-title":"Sustainability","DOI":"10.3390/su12187394","issue":"18","language":"en","note":"number: 18\npublisher: Multidisciplinary Digital Publishing Institute","page":"7394","source":"www.mdpi.com","title":"On the potential impacts of smart traffic control for delay, fuel energy consumption, and emissions: An NSGA-II-based optimization case study from Dhahran, Saudi Arabia","title-short":"On the Potential Impacts of Smart Traffic Control for Delay, Fuel Energy Consumption, and Emissions","URL":"https://www.mdpi.com/2071-1050/12/18/7394","volume":"12","author":[{"family":"Al-Turki","given":"Mohammed"},{"family":"Jamal","given":"Arshad"},{"family":"Al-Ahmadi","given":"Hassan M."},{"family":"Al-Sughaiyer","given":"Mohammed A."},{"family":"Zahid","given":"Muhammad"}],"accessed":{"date-parts":[["2021",4,8]]},"issued":{"date-parts":[["2020",1]]}}}],"schema":"https://github.com/citation-style-language/schema/raw/master/csl-citation.json"} </w:instrText>
      </w:r>
      <w:r>
        <w:rPr>
          <w:vertAlign w:val="superscript"/>
        </w:rPr>
        <w:fldChar w:fldCharType="separate"/>
      </w:r>
      <w:r>
        <w:rPr>
          <w:vertAlign w:val="superscript"/>
        </w:rPr>
        <w:t xml:space="preserve"> [2]</w:t>
      </w:r>
      <w:r>
        <w:rPr>
          <w:vertAlign w:val="superscript"/>
        </w:rPr>
        <w:fldChar w:fldCharType="end"/>
      </w:r>
      <w:r>
        <w:t xml:space="preserve"> . The emissions produced are proportional to fuel consumption, and emissions are usually higher near intersections compared to other street segments </w:t>
      </w:r>
      <w:r>
        <w:rPr>
          <w:vertAlign w:val="superscript"/>
        </w:rPr>
        <w:fldChar w:fldCharType="begin"/>
      </w:r>
      <w:r>
        <w:rPr>
          <w:vertAlign w:val="superscript"/>
        </w:rPr>
        <w:instrText xml:space="preserve"> ADDIN ZOTERO_ITEM CSL_CITATION {"citationID":"KcBOTNAN","properties":{"formattedCitation":"(Al-Turki et al., 2020)","plainCitation":"(Al-Turki et al., 2020)","noteIndex":0},"citationItems":[{"id":112,"uris":["http://zotero.org/users/6622193/items/3NFM7PLG"],"uri":["http://zotero.org/users/6622193/items/3NFM7PLG"],"itemData":{"id":112,"type":"article-journal","abstract":"Intelligent traffic control at urban intersections is vital to ensure efficient and sustainable traffic operations. Urban road intersections are hotspots of congestion and traffic accidents. Poor traffic management at these locations could cause numerous issues, such as longer travel time, low travel speed, long vehicle queues, delays, increased fuel consumption, and environmental emissions, and so forth. Previous studies have shown that the mentioned traffic performance measures or measures of effectiveness (MOEs) could be significantly improved by adopting intelligent traffic control protocols. The majority of studies in this regard have focused on mono or bi-objective optimization with homogenous and lane-based traffic conditions. However, decision-makers often have to deal with multiple conflicting objectives to find an optimal solution under heterogeneous stochastic traffic conditions. Therefore, it is essential to determine the optimum decision plan that offers the least conflict among several objectives. Hence, the current study aimed to develop a multi-objective intelligent traffic control protocol based on the non-dominated sorting genetic algorithm II (NSGA-II) at isolated signalized intersections in the city of Dhahran, Kingdom of Saudi Arabia. The MOEs (optimization objectives) that were considered included average vehicle delay, the total number of vehicle stops, average fuel consumption, and vehicular emissions. NSGA-II simulations were run with different initial populations. The study results showed that the proposed method was effective in optimizing considered performance measures along the optimal Pareto front. MOEs were improved in the range of 16% to 23% compared to existing conditions. To assess the efficacy of the proposed approach, an optimization analysis was performed using a Synchro traffic light simulation and optimization tool. Although the Synchro optimization resulted in a relatively lower signal timing plan than NSGA-II, the proposed algorithm outperformed the Synchro optimization results in terms of percentage reduction in MOE values.","container-title":"Sustainability","DOI":"10.3390/su12187394","issue":"18","language":"en","note":"number: 18\npublisher: Multidisciplinary Digital Publishing Institute","page":"7394","source":"www.mdpi.com","title":"On the potential impacts of smart traffic control for delay, fuel energy consumption, and emissions: An NSGA-II-based optimization case study from Dhahran, Saudi Arabia","title-short":"On the Potential Impacts of Smart Traffic Control for Delay, Fuel Energy Consumption, and Emissions","URL":"https://www.mdpi.com/2071-1050/12/18/7394","volume":"12","author":[{"family":"Al-Turki","given":"Mohammed"},{"family":"Jamal","given":"Arshad"},{"family":"Al-Ahmadi","given":"Hassan M."},{"family":"Al-Sughaiyer","given":"Mohammed A."},{"family":"Zahid","given":"Muhammad"}],"accessed":{"date-parts":[["2021",4,8]]},"issued":{"date-parts":[["2020",1]]}}}],"schema":"https://github.com/citation-style-language/schema/raw/master/csl-citation.json"} </w:instrText>
      </w:r>
      <w:r>
        <w:rPr>
          <w:vertAlign w:val="superscript"/>
        </w:rPr>
        <w:fldChar w:fldCharType="separate"/>
      </w:r>
      <w:r>
        <w:rPr>
          <w:vertAlign w:val="superscript"/>
        </w:rPr>
        <w:t>[2</w:t>
      </w:r>
      <w:r>
        <w:rPr>
          <w:vertAlign w:val="superscript"/>
        </w:rPr>
        <w:fldChar w:fldCharType="end"/>
      </w:r>
      <w:r>
        <w:rPr>
          <w:vertAlign w:val="superscript"/>
        </w:rPr>
        <w:t>]</w:t>
      </w:r>
      <w:r>
        <w:t xml:space="preserve"> .Studies have shown that fuel economy and emissions could be significantly reduced by improving vehicle standards as well as the optimization of traffic management systems </w:t>
      </w:r>
      <w:r>
        <w:rPr>
          <w:vertAlign w:val="superscript"/>
        </w:rPr>
        <w:fldChar w:fldCharType="begin"/>
      </w:r>
      <w:r>
        <w:rPr>
          <w:vertAlign w:val="superscript"/>
        </w:rPr>
        <w:instrText xml:space="preserve"> ADDIN ZOTERO_ITEM CSL_CITATION {"citationID":"U24o1E6l","properties":{"formattedCitation":"(Al-Turki et al., 2020)","plainCitation":"(Al-Turki et al., 2020)","dontUpdate":true,"noteIndex":0},"citationItems":[{"id":112,"uris":["http://zotero.org/users/6622193/items/3NFM7PLG"],"uri":["http://zotero.org/users/6622193/items/3NFM7PLG"],"itemData":{"id":112,"type":"article-journal","abstract":"Intelligent traffic control at urban intersections is vital to ensure efficient and sustainable traffic operations. Urban road intersections are hotspots of congestion and traffic accidents. Poor traffic management at these locations could cause numerous issues, such as longer travel time, low travel speed, long vehicle queues, delays, increased fuel consumption, and environmental emissions, and so forth. Previous studies have shown that the mentioned traffic performance measures or measures of effectiveness (MOEs) could be significantly improved by adopting intelligent traffic control protocols. The majority of studies in this regard have focused on mono or bi-objective optimization with homogenous and lane-based traffic conditions. However, decision-makers often have to deal with multiple conflicting objectives to find an optimal solution under heterogeneous stochastic traffic conditions. Therefore, it is essential to determine the optimum decision plan that offers the least conflict among several objectives. Hence, the current study aimed to develop a multi-objective intelligent traffic control protocol based on the non-dominated sorting genetic algorithm II (NSGA-II) at isolated signalized intersections in the city of Dhahran, Kingdom of Saudi Arabia. The MOEs (optimization objectives) that were considered included average vehicle delay, the total number of vehicle stops, average fuel consumption, and vehicular emissions. NSGA-II simulations were run with different initial populations. The study results showed that the proposed method was effective in optimizing considered performance measures along the optimal Pareto front. MOEs were improved in the range of 16% to 23% compared to existing conditions. To assess the efficacy of the proposed approach, an optimization analysis was performed using a Synchro traffic light simulation and optimization tool. Although the Synchro optimization resulted in a relatively lower signal timing plan than NSGA-II, the proposed algorithm outperformed the Synchro optimization results in terms of percentage reduction in MOE values.","container-title":"Sustainability","DOI":"10.3390/su12187394","issue":"18","language":"en","note":"number: 18\npublisher: Multidisciplinary Digital Publishing Institute","page":"7394","source":"www.mdpi.com","title":"On the potential impacts of smart traffic control for delay, fuel energy consumption, and emissions: An NSGA-II-based optimization case study from Dhahran, Saudi Arabia","title-short":"On the Potential Impacts of Smart Traffic Control for Delay, Fuel Energy Consumption, and Emissions","URL":"https://www.mdpi.com/2071-1050/12/18/7394","volume":"12","author":[{"family":"Al-Turki","given":"Mohammed"},{"family":"Jamal","given":"Arshad"},{"family":"Al-Ahmadi","given":"Hassan M."},{"family":"Al-Sughaiyer","given":"Mohammed A."},{"family":"Zahid","given":"Muhammad"}],"accessed":{"date-parts":[["2021",4,8]]},"issued":{"date-parts":[["2020",1]]}}}],"schema":"https://github.com/citation-style-language/schema/raw/master/csl-citation.json"} </w:instrText>
      </w:r>
      <w:r>
        <w:rPr>
          <w:vertAlign w:val="superscript"/>
        </w:rPr>
        <w:fldChar w:fldCharType="separate"/>
      </w:r>
      <w:r>
        <w:rPr>
          <w:vertAlign w:val="superscript"/>
        </w:rPr>
        <w:t>[2]</w:t>
      </w:r>
      <w:r>
        <w:rPr>
          <w:vertAlign w:val="superscript"/>
        </w:rPr>
        <w:fldChar w:fldCharType="end"/>
      </w:r>
      <w:r>
        <w:t xml:space="preserve"> . Finally, the author concluded that the optimum MOE estimates along the Pareto front were obtained by optimizing green splits in response to dynamic traffic demand </w:t>
      </w:r>
      <w:r>
        <w:rPr>
          <w:vertAlign w:val="superscript"/>
        </w:rPr>
        <w:fldChar w:fldCharType="begin"/>
      </w:r>
      <w:r>
        <w:rPr>
          <w:vertAlign w:val="superscript"/>
        </w:rPr>
        <w:instrText xml:space="preserve"> ADDIN ZOTERO_ITEM CSL_CITATION {"citationID":"1xninwVB","properties":{"formattedCitation":"(Al-Turki et al., 2020)","plainCitation":"(Al-Turki et al., 2020)","dontUpdate":true,"noteIndex":0},"citationItems":[{"id":112,"uris":["http://zotero.org/users/6622193/items/3NFM7PLG"],"uri":["http://zotero.org/users/6622193/items/3NFM7PLG"],"itemData":{"id":112,"type":"article-journal","abstract":"Intelligent traffic control at urban intersections is vital to ensure efficient and sustainable traffic operations. Urban road intersections are hotspots of congestion and traffic accidents. Poor traffic management at these locations could cause numerous issues, such as longer travel time, low travel speed, long vehicle queues, delays, increased fuel consumption, and environmental emissions, and so forth. Previous studies have shown that the mentioned traffic performance measures or measures of effectiveness (MOEs) could be significantly improved by adopting intelligent traffic control protocols. The majority of studies in this regard have focused on mono or bi-objective optimization with homogenous and lane-based traffic conditions. However, decision-makers often have to deal with multiple conflicting objectives to find an optimal solution under heterogeneous stochastic traffic conditions. Therefore, it is essential to determine the optimum decision plan that offers the least conflict among several objectives. Hence, the current study aimed to develop a multi-objective intelligent traffic control protocol based on the non-dominated sorting genetic algorithm II (NSGA-II) at isolated signalized intersections in the city of Dhahran, Kingdom of Saudi Arabia. The MOEs (optimization objectives) that were considered included average vehicle delay, the total number of vehicle stops, average fuel consumption, and vehicular emissions. NSGA-II simulations were run with different initial populations. The study results showed that the proposed method was effective in optimizing considered performance measures along the optimal Pareto front. MOEs were improved in the range of 16% to 23% compared to existing conditions. To assess the efficacy of the proposed approach, an optimization analysis was performed using a Synchro traffic light simulation and optimization tool. Although the Synchro optimization resulted in a relatively lower signal timing plan than NSGA-II, the proposed algorithm outperformed the Synchro optimization results in terms of percentage reduction in MOE values.","container-title":"Sustainability","DOI":"10.3390/su12187394","issue":"18","language":"en","note":"number: 18\npublisher: Multidisciplinary Digital Publishing Institute","page":"7394","source":"www.mdpi.com","title":"On the potential impacts of smart traffic control for delay, fuel energy consumption, and emissions: An NSGA-II-based optimization case study from Dhahran, Saudi Arabia","title-short":"On the Potential Impacts of Smart Traffic Control for Delay, Fuel Energy Consumption, and Emissions","URL":"https://www.mdpi.com/2071-1050/12/18/7394","volume":"12","author":[{"family":"Al-Turki","given":"Mohammed"},{"family":"Jamal","given":"Arshad"},{"family":"Al-Ahmadi","given":"Hassan M."},{"family":"Al-Sughaiyer","given":"Mohammed A."},{"family":"Zahid","given":"Muhammad"}],"accessed":{"date-parts":[["2021",4,8]]},"issued":{"date-parts":[["2020",1]]}}}],"schema":"https://github.com/citation-style-language/schema/raw/master/csl-citation.json"} </w:instrText>
      </w:r>
      <w:r>
        <w:rPr>
          <w:vertAlign w:val="superscript"/>
        </w:rPr>
        <w:fldChar w:fldCharType="separate"/>
      </w:r>
      <w:r>
        <w:rPr>
          <w:vertAlign w:val="superscript"/>
        </w:rPr>
        <w:t>[2]</w:t>
      </w:r>
      <w:r>
        <w:rPr>
          <w:vertAlign w:val="superscript"/>
        </w:rPr>
        <w:fldChar w:fldCharType="end"/>
      </w:r>
      <w:r>
        <w:t xml:space="preserve"> . The proposed algorithm yielded a 22.5 % reduction in average fuel consumption and about a 17% decrease in total vehicle emissions.</w:t>
      </w:r>
    </w:p>
    <w:p>
      <w:pPr>
        <w:rPr>
          <w:lang w:eastAsia="en-US"/>
        </w:rPr>
      </w:pPr>
    </w:p>
    <w:p>
      <w:pPr>
        <w:pStyle w:val="4"/>
      </w:pPr>
      <w:r>
        <w:t>COVID-19 and Transportation</w:t>
      </w:r>
    </w:p>
    <w:p>
      <w:r>
        <w:t xml:space="preserve">The demand for movement is directly related to participation in other economic activities such as work and shopping; the COVID-19 pandemic has demonstrated this fact on a global scale </w:t>
      </w:r>
      <w:r>
        <w:rPr>
          <w:vertAlign w:val="superscript"/>
        </w:rPr>
        <w:fldChar w:fldCharType="begin"/>
      </w:r>
      <w:r>
        <w:rPr>
          <w:vertAlign w:val="superscript"/>
        </w:rPr>
        <w:instrText xml:space="preserve"> ADDIN ZOTERO_ITEM CSL_CITATION {"citationID":"0QbyBgzT","properties":{"formattedCitation":"(Hendrickson &amp; Rilett, 2020)","plainCitation":"(Hendrickson &amp; Rilett, 2020)","dontUpdate":true,"noteIndex":0},"citationItems":[{"id":101,"uris":["http://zotero.org/users/6622193/items/BWFAPGIF"],"uri":["http://zotero.org/users/6622193/items/BWFAPGIF"],"itemData":{"id":101,"type":"article-journal","abstract":"Sponsored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[3]</w:t>
      </w:r>
      <w:r>
        <w:rPr>
          <w:vertAlign w:val="superscript"/>
        </w:rPr>
        <w:fldChar w:fldCharType="end"/>
      </w:r>
      <w:r>
        <w:t xml:space="preserve"> . Transport operations dependent on revenue from reliable travel volumes experienced significant revenue declines, including fare, fuel tax, and toll revenues </w:t>
      </w:r>
      <w:r>
        <w:rPr>
          <w:vertAlign w:val="superscript"/>
        </w:rPr>
        <w:t>[</w:t>
      </w:r>
      <w:r>
        <w:rPr>
          <w:vertAlign w:val="superscript"/>
        </w:rPr>
        <w:fldChar w:fldCharType="begin"/>
      </w:r>
      <w:r>
        <w:rPr>
          <w:vertAlign w:val="superscript"/>
        </w:rPr>
        <w:instrText xml:space="preserve"> ADDIN ZOTERO_ITEM CSL_CITATION {"citationID":"mAbuVMJi","properties":{"formattedCitation":"(Hendrickson &amp; Rilett, 2020)","plainCitation":"(Hendrickson &amp; Rilett, 2020)","dontUpdate":true,"noteIndex":0},"citationItems":[{"id":101,"uris":["http://zotero.org/users/6622193/items/BWFAPGIF"],"uri":["http://zotero.org/users/6622193/items/BWFAPGIF"],"itemData":{"id":101,"type":"article-journal","abstract":"Sponsored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3]</w:t>
      </w:r>
      <w:r>
        <w:rPr>
          <w:vertAlign w:val="superscript"/>
        </w:rPr>
        <w:fldChar w:fldCharType="end"/>
      </w:r>
      <w:r>
        <w:t xml:space="preserve"> . Conversely, the demand for transportation and logistics in certain sectors such as e-commerce has surged </w:t>
      </w:r>
      <w:r>
        <w:rPr>
          <w:vertAlign w:val="superscript"/>
        </w:rPr>
        <w:fldChar w:fldCharType="begin"/>
      </w:r>
      <w:r>
        <w:rPr>
          <w:vertAlign w:val="superscript"/>
        </w:rPr>
        <w:instrText xml:space="preserve"> ADDIN ZOTERO_ITEM CSL_CITATION {"citationID":"VoWJcaGP","properties":{"formattedCitation":"(Hendrickson &amp; Rilett, 2020)","plainCitation":"(Hendrickson &amp; Rilett, 2020)","dontUpdate":true,"noteIndex":0},"citationItems":[{"id":101,"uris":["http://zotero.org/users/6622193/items/BWFAPGIF"],"uri":["http://zotero.org/users/6622193/items/BWFAPGIF"],"itemData":{"id":101,"type":"article-journal","abstract":"Sponsored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[3]</w:t>
      </w:r>
      <w:r>
        <w:rPr>
          <w:vertAlign w:val="superscript"/>
        </w:rPr>
        <w:fldChar w:fldCharType="end"/>
      </w:r>
      <w:r>
        <w:t xml:space="preserve"> . Hence, the COVID-19 pandemic has dramatically illustrated the need for transportation professionals to prepare for future disruptions </w:t>
      </w:r>
      <w:r>
        <w:rPr>
          <w:vertAlign w:val="superscript"/>
        </w:rPr>
        <w:fldChar w:fldCharType="begin"/>
      </w:r>
      <w:r>
        <w:rPr>
          <w:vertAlign w:val="superscript"/>
        </w:rPr>
        <w:instrText xml:space="preserve"> ADDIN ZOTERO_ITEM CSL_CITATION {"citationID":"WNXwa3GX","properties":{"formattedCitation":"(Hendrickson &amp; Rilett, 2020)","plainCitation":"(Hendrickson &amp; Rilett, 2020)","dontUpdate":true,"noteIndex":0},"citationItems":[{"id":101,"uris":["http://zotero.org/users/6622193/items/BWFAPGIF"],"uri":["http://zotero.org/users/6622193/items/BWFAPGIF"],"itemData":{"id":101,"type":"article-journal","abstract":"Sponsored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[3]</w:t>
      </w:r>
      <w:r>
        <w:rPr>
          <w:vertAlign w:val="superscript"/>
        </w:rPr>
        <w:fldChar w:fldCharType="end"/>
      </w:r>
      <w:r>
        <w:t xml:space="preserve">  . </w:t>
      </w:r>
    </w:p>
    <w:p/>
    <w:p>
      <w:r>
        <w:rPr>
          <w:lang w:eastAsia="en-US"/>
        </w:rPr>
        <w:t xml:space="preserve">In Minneapolis, COVID-19 related shut down reduced traffic volume on average throughout the city by 50% </w:t>
      </w:r>
      <w:r>
        <w:rPr>
          <w:vertAlign w:val="superscript"/>
          <w:lang w:eastAsia="en-US"/>
        </w:rPr>
        <w:fldChar w:fldCharType="begin"/>
      </w:r>
      <w:r>
        <w:rPr>
          <w:vertAlign w:val="superscript"/>
          <w:lang w:eastAsia="en-US"/>
        </w:rPr>
        <w:instrText xml:space="preserve"> ADDIN ZOTERO_ITEM CSL_CITATION {"citationID":"eMjLlL3B","properties":{"formattedCitation":"(Liu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vertAlign w:val="superscript"/>
          <w:lang w:eastAsia="en-US"/>
        </w:rPr>
        <w:fldChar w:fldCharType="separate"/>
      </w:r>
      <w:r>
        <w:rPr>
          <w:vertAlign w:val="superscript"/>
          <w:lang w:eastAsia="en-US"/>
        </w:rPr>
        <w:t>[4]</w:t>
      </w:r>
      <w:r>
        <w:rPr>
          <w:vertAlign w:val="superscript"/>
          <w:lang w:eastAsia="en-US"/>
        </w:rPr>
        <w:fldChar w:fldCharType="end"/>
      </w:r>
      <w:r>
        <w:rPr>
          <w:lang w:eastAsia="en-US"/>
        </w:rPr>
        <w:t xml:space="preserve"> . However, the effects proved to be only temporary, after which the traffic volume began to recover at a slow but steady pace </w:t>
      </w:r>
      <w:r>
        <w:rPr>
          <w:vertAlign w:val="superscript"/>
          <w:lang w:eastAsia="en-US"/>
        </w:rPr>
        <w:fldChar w:fldCharType="begin"/>
      </w:r>
      <w:r>
        <w:rPr>
          <w:vertAlign w:val="superscript"/>
          <w:lang w:eastAsia="en-US"/>
        </w:rPr>
        <w:instrText xml:space="preserve"> ADDIN ZOTERO_ITEM CSL_CITATION {"citationID":"HwJsPrDy","properties":{"formattedCitation":"(Liu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vertAlign w:val="superscript"/>
          <w:lang w:eastAsia="en-US"/>
        </w:rPr>
        <w:fldChar w:fldCharType="separate"/>
      </w:r>
      <w:r>
        <w:rPr>
          <w:vertAlign w:val="superscript"/>
          <w:lang w:eastAsia="en-US"/>
        </w:rPr>
        <w:t>[4]</w:t>
      </w:r>
      <w:r>
        <w:rPr>
          <w:vertAlign w:val="superscript"/>
          <w:lang w:eastAsia="en-US"/>
        </w:rPr>
        <w:fldChar w:fldCharType="end"/>
      </w:r>
      <w:r>
        <w:rPr>
          <w:lang w:eastAsia="en-US"/>
        </w:rPr>
        <w:t xml:space="preserve"> . Although passenger vehicle volumes decrease, it is not known how the increase in trucking during the COVID-19 pandemic influenced these traffic counts </w:t>
      </w:r>
      <w:r>
        <w:rPr>
          <w:vertAlign w:val="superscript"/>
          <w:lang w:eastAsia="en-US"/>
        </w:rPr>
        <w:fldChar w:fldCharType="begin"/>
      </w:r>
      <w:r>
        <w:rPr>
          <w:vertAlign w:val="superscript"/>
          <w:lang w:eastAsia="en-US"/>
        </w:rPr>
        <w:instrText xml:space="preserve"> ADDIN ZOTERO_ITEM CSL_CITATION {"citationID":"PvaG9QHP","properties":{"formattedCitation":"(Liu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vertAlign w:val="superscript"/>
          <w:lang w:eastAsia="en-US"/>
        </w:rPr>
        <w:fldChar w:fldCharType="separate"/>
      </w:r>
      <w:r>
        <w:rPr>
          <w:vertAlign w:val="superscript"/>
          <w:lang w:eastAsia="en-US"/>
        </w:rPr>
        <w:t>[4]</w:t>
      </w:r>
      <w:r>
        <w:rPr>
          <w:vertAlign w:val="superscript"/>
          <w:lang w:eastAsia="en-US"/>
        </w:rPr>
        <w:fldChar w:fldCharType="end"/>
      </w:r>
      <w:r>
        <w:rPr>
          <w:lang w:eastAsia="en-US"/>
        </w:rPr>
        <w:t xml:space="preserve">  .</w:t>
      </w:r>
    </w:p>
    <w:p>
      <w:pPr>
        <w:rPr>
          <w:lang w:eastAsia="en-US"/>
        </w:rPr>
      </w:pPr>
      <w:r>
        <w:rPr>
          <w:lang w:eastAsia="en-US"/>
        </w:rPr>
        <w:t>In summary, past research has been carried out on signal control strategies pertaining to vehicle delay at a signalized intersection, persons delay on bus transit, and optimization of signal control for multimodal traffic. This study aims to evaluate the pre-COVID and COVID traffic volumes with the existing traffic signal timing and develop a monetized equation based on persons’ time, the value of goods for freight trucks, and exhaust emissions. The goal of this research is to look at multiple parameters in one equation at six different scenarios in order to recommend a traffic signal reallocation strategy for an intersection with high volumes of freight trucks before and during the COVID-19 pandemic, thus capturing the shift to teleworking and surge in e-commerce during due to the pandemic.</w:t>
      </w:r>
    </w:p>
    <w:p>
      <w:pPr>
        <w:rPr>
          <w:lang w:eastAsia="en-US"/>
        </w:rPr>
      </w:pPr>
    </w:p>
    <w:p>
      <w:pPr>
        <w:rPr>
          <w:lang w:eastAsia="en-US"/>
        </w:rPr>
      </w:pPr>
    </w:p>
    <w:p>
      <w:pPr>
        <w:pStyle w:val="3"/>
        <w:rPr>
          <w:lang w:eastAsia="en-US"/>
        </w:rPr>
      </w:pPr>
      <w:r>
        <w:rPr>
          <w:lang w:eastAsia="en-US"/>
        </w:rPr>
        <w:t>Methodology</w:t>
      </w:r>
    </w:p>
    <w:p>
      <w:pPr>
        <w:pStyle w:val="4"/>
      </w:pPr>
      <w:r>
        <w:t>Data Collection</w:t>
      </w:r>
    </w:p>
    <w:p>
      <w:pPr>
        <w:rPr>
          <w:lang w:eastAsia="en-US"/>
        </w:rPr>
      </w:pPr>
      <w:r>
        <w:rPr>
          <w:lang w:eastAsia="en-US"/>
        </w:rPr>
        <w:t>As previously mentioned, this study investigates traffic flow at Holabird Ave and Broening Highway in Baltimore, MD. The traffic data was collected on Wednesday, October 2, 2019 (Pre-COVID). The morning peak period 6:00 AM to 9:00 AM, with the peak hour ranging from 7:00-8:00 AM. The author returned to the site on Wednesday, March 3, 2021 (COVID), to collect traffic data via video recording from 7:00 AM to 8:00 AM to align with the SHA peak hour. The existing signal timing for all approaches was also collected in the field on March 3, 2021.</w:t>
      </w:r>
    </w:p>
    <w:p>
      <w:pPr>
        <w:rPr>
          <w:lang w:eastAsia="en-US"/>
        </w:rPr>
      </w:pPr>
    </w:p>
    <w:p>
      <w:r>
        <w:fldChar w:fldCharType="begin"/>
      </w:r>
      <w:r>
        <w:instrText xml:space="preserve"> REF _Ref100924317 \h </w:instrText>
      </w:r>
      <w:r>
        <w:fldChar w:fldCharType="separate"/>
      </w:r>
      <w:r>
        <w:t>Figure  4</w:t>
      </w:r>
      <w:r>
        <w:fldChar w:fldCharType="end"/>
      </w:r>
      <w:r>
        <w:t xml:space="preserve"> and </w:t>
      </w:r>
      <w:r>
        <w:fldChar w:fldCharType="begin"/>
      </w:r>
      <w:r>
        <w:instrText xml:space="preserve"> REF _Ref69460975 \h </w:instrText>
      </w:r>
      <w:r>
        <w:fldChar w:fldCharType="separate"/>
      </w:r>
      <w:r>
        <w:t>Figure 5</w:t>
      </w:r>
      <w:r>
        <w:fldChar w:fldCharType="end"/>
      </w:r>
      <w:r>
        <w:t xml:space="preserve"> show the existing lane configuration and phase diagram for Holabird Avenue and Broening Highway. The EB and WB direction has two through lanes, and EB has an exclusive permissive left-turn lane onto Broening Highway NB. The WB has one exclusive permissive left-turn lane onto Broening Highway SB and a shared right turn lane to Broening Highway NB.</w:t>
      </w:r>
    </w:p>
    <w:p/>
    <w:p>
      <w:pPr>
        <w:jc w:val="center"/>
      </w:pPr>
      <w:r>
        <w:rPr>
          <w:lang w:eastAsia="en-US"/>
        </w:rPr>
        <w:drawing>
          <wp:inline distT="0" distB="0" distL="0" distR="0">
            <wp:extent cx="3105150" cy="2295525"/>
            <wp:effectExtent l="0" t="0" r="0" b="0"/>
            <wp:docPr id="21" name="Picture 21" descr="C:\Users\SOE_Student\Downloads\Habird Broening Higway Lane Confi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SOE_Student\Downloads\Habird Broening Higway Lane Configu.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2461" cy="2300628"/>
                    </a:xfrm>
                    <a:prstGeom prst="rect">
                      <a:avLst/>
                    </a:prstGeom>
                  </pic:spPr>
                </pic:pic>
              </a:graphicData>
            </a:graphic>
          </wp:inline>
        </w:drawing>
      </w:r>
      <w:bookmarkStart w:id="9" w:name="_Ref100924317"/>
      <w:bookmarkStart w:id="10" w:name="_Toc71649663"/>
    </w:p>
    <w:p>
      <w:pPr>
        <w:jc w:val="center"/>
      </w:pPr>
    </w:p>
    <w:p>
      <w:pPr>
        <w:jc w:val="center"/>
      </w:pPr>
      <w:r>
        <w:rPr>
          <w:b/>
          <w:bCs/>
        </w:rPr>
        <w:t xml:space="preserve">FIGURE </w:t>
      </w:r>
      <w:r>
        <w:rPr>
          <w:b/>
          <w:bCs/>
        </w:rPr>
        <w:fldChar w:fldCharType="begin"/>
      </w:r>
      <w:r>
        <w:rPr>
          <w:b/>
          <w:bCs/>
        </w:rPr>
        <w:instrText xml:space="preserve"> SEQ Figure \* ARABIC </w:instrText>
      </w:r>
      <w:r>
        <w:rPr>
          <w:b/>
          <w:bCs/>
        </w:rPr>
        <w:fldChar w:fldCharType="separate"/>
      </w:r>
      <w:r>
        <w:rPr>
          <w:b/>
          <w:bCs/>
        </w:rPr>
        <w:t>4</w:t>
      </w:r>
      <w:r>
        <w:rPr>
          <w:b/>
          <w:bCs/>
        </w:rPr>
        <w:fldChar w:fldCharType="end"/>
      </w:r>
      <w:bookmarkEnd w:id="9"/>
      <w:r>
        <w:rPr>
          <w:b/>
          <w:bCs/>
        </w:rPr>
        <w:t>.</w:t>
      </w:r>
      <w:r>
        <w:t xml:space="preserve"> Lane Configuration at Holabird Ave &amp; Broening Hwy</w:t>
      </w:r>
      <w:bookmarkEnd w:id="10"/>
    </w:p>
    <w:p>
      <w:pPr>
        <w:jc w:val="center"/>
      </w:pPr>
      <w:r>
        <w:rPr>
          <w:lang w:eastAsia="en-US"/>
        </w:rPr>
        <w:drawing>
          <wp:inline distT="0" distB="0" distL="0" distR="0">
            <wp:extent cx="2887980" cy="1497330"/>
            <wp:effectExtent l="0" t="0" r="7620" b="7620"/>
            <wp:docPr id="24" name="Picture 24" descr="D:\Phase Diagram Updated 2.15.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Phase Diagram Updated 2.15.2021.JP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6411" cy="1501532"/>
                    </a:xfrm>
                    <a:prstGeom prst="rect">
                      <a:avLst/>
                    </a:prstGeom>
                  </pic:spPr>
                </pic:pic>
              </a:graphicData>
            </a:graphic>
          </wp:inline>
        </w:drawing>
      </w:r>
    </w:p>
    <w:p>
      <w:pPr>
        <w:pStyle w:val="17"/>
      </w:pPr>
      <w:bookmarkStart w:id="11" w:name="_Ref69460975"/>
      <w:bookmarkStart w:id="12" w:name="_Ref69896636"/>
      <w:bookmarkStart w:id="13" w:name="_Toc71649664"/>
      <w:r>
        <w:t xml:space="preserve">FIGURE </w:t>
      </w:r>
      <w:r>
        <w:fldChar w:fldCharType="begin"/>
      </w:r>
      <w:r>
        <w:instrText xml:space="preserve">SEQ Figure \* ARABIC</w:instrText>
      </w:r>
      <w:r>
        <w:fldChar w:fldCharType="separate"/>
      </w:r>
      <w:r>
        <w:t>5</w:t>
      </w:r>
      <w:r>
        <w:fldChar w:fldCharType="end"/>
      </w:r>
      <w:bookmarkEnd w:id="11"/>
      <w:r>
        <w:t>. Exiting 3-Phase Diagram at Holabird Ave &amp; Broening Hwy</w:t>
      </w:r>
      <w:bookmarkEnd w:id="12"/>
      <w:bookmarkEnd w:id="13"/>
    </w:p>
    <w:p/>
    <w:p>
      <w:pPr>
        <w:jc w:val="center"/>
      </w:pPr>
      <w:r>
        <w:rPr>
          <w:lang w:eastAsia="en-US"/>
        </w:rPr>
        <w:drawing>
          <wp:inline distT="0" distB="0" distL="0" distR="0">
            <wp:extent cx="2901950" cy="13582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4527" cy="1369461"/>
                    </a:xfrm>
                    <a:prstGeom prst="rect">
                      <a:avLst/>
                    </a:prstGeom>
                  </pic:spPr>
                </pic:pic>
              </a:graphicData>
            </a:graphic>
          </wp:inline>
        </w:drawing>
      </w:r>
    </w:p>
    <w:p>
      <w:pPr>
        <w:pStyle w:val="17"/>
      </w:pPr>
      <w:bookmarkStart w:id="14" w:name="_Ref69461012"/>
      <w:bookmarkStart w:id="15" w:name="_Toc71649665"/>
      <w:r>
        <w:t xml:space="preserve">FIGURE </w:t>
      </w:r>
      <w:r>
        <w:fldChar w:fldCharType="begin"/>
      </w:r>
      <w:r>
        <w:instrText xml:space="preserve">SEQ Figure \* ARABIC</w:instrText>
      </w:r>
      <w:r>
        <w:fldChar w:fldCharType="separate"/>
      </w:r>
      <w:r>
        <w:t>6</w:t>
      </w:r>
      <w:r>
        <w:fldChar w:fldCharType="end"/>
      </w:r>
      <w:bookmarkEnd w:id="14"/>
      <w:r>
        <w:t>. New 3-Phase Diagram at Holabird Ave &amp; Broening Hwy</w:t>
      </w:r>
      <w:bookmarkEnd w:id="15"/>
    </w:p>
    <w:p>
      <w:pPr>
        <w:rPr>
          <w:lang w:eastAsia="en-US"/>
        </w:rPr>
      </w:pPr>
    </w:p>
    <w:p>
      <w:r>
        <w:t>Step 2 will run six scenarios in SYNCHRO to obtain the delay, emissions, and in some scenarios, signal timing. There were three scenarios with pre-COVID volumes and three scenarios with COVID volumes. Additionally, a new 3-phase signal phasing scheme was tested.</w:t>
      </w:r>
    </w:p>
    <w:p>
      <w:bookmarkStart w:id="16" w:name="_Ref100924611"/>
      <w:bookmarkStart w:id="17" w:name="_Ref100927099"/>
    </w:p>
    <w:p/>
    <w:p>
      <w:pPr>
        <w:sectPr>
          <w:headerReference r:id="rId4" w:type="default"/>
          <w:pgSz w:w="12240" w:h="15840"/>
          <w:pgMar w:top="1354" w:right="1440" w:bottom="1440" w:left="1440" w:header="706" w:footer="706" w:gutter="0"/>
          <w:cols w:space="708" w:num="1"/>
          <w:docGrid w:linePitch="360" w:charSpace="0"/>
        </w:sectPr>
      </w:pPr>
      <w:r>
        <w:t>The field observed COVID data shows that the westbound (WB) approach has the highest traffic volumes for cars during the morning peak (304), while the northbound (NB) approach has the lowest traffic volumes for cars (126). For trucks, the eastbound (EB) and WB approaches have the highest volumes of heavy vehicles (196 and 195, respectively).  The NB and southbound (SB) approaches have the lowest volume of heavy vehicles (145 and 129). The number 65 bus runs along this corridor; one bus runs along the EB right (EBR) direction, and two buses in the NB left (NBL) direction. The Peak Hour Factor (PHF) calculated in each direction of approach shows a bit of variability, from 0.80 to 0.93. Traditionally, it is not usually below 0.80 for an urban environment.</w:t>
      </w:r>
    </w:p>
    <w:p>
      <w:pPr>
        <w:pStyle w:val="17"/>
      </w:pPr>
      <w:r>
        <w:t xml:space="preserve">TABLE </w:t>
      </w:r>
      <w:r>
        <w:fldChar w:fldCharType="begin"/>
      </w:r>
      <w:r>
        <w:instrText xml:space="preserve"> SEQ Table \* ARABIC </w:instrText>
      </w:r>
      <w:r>
        <w:fldChar w:fldCharType="separate"/>
      </w:r>
      <w:r>
        <w:t>1</w:t>
      </w:r>
      <w:r>
        <w:fldChar w:fldCharType="end"/>
      </w:r>
      <w:bookmarkEnd w:id="16"/>
      <w:r>
        <w:t>. Pre-COVID Volumes and COVID Volumes.</w:t>
      </w:r>
      <w:bookmarkEnd w:id="17"/>
      <w:bookmarkStart w:id="18" w:name="_Ref69735547"/>
      <w:bookmarkStart w:id="19" w:name="_Ref69463807"/>
      <w:bookmarkStart w:id="20" w:name="_Toc71649634"/>
      <w:bookmarkStart w:id="21" w:name="_Ref69744848"/>
    </w:p>
    <w:p>
      <w:pPr>
        <w:pStyle w:val="17"/>
      </w:pPr>
    </w:p>
    <w:tbl>
      <w:tblPr>
        <w:tblStyle w:val="111"/>
        <w:tblpPr w:leftFromText="180" w:rightFromText="180" w:vertAnchor="page" w:horzAnchor="margin" w:tblpX="-10" w:tblpY="2151"/>
        <w:tblW w:w="9293"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000"/>
        <w:gridCol w:w="618"/>
        <w:gridCol w:w="679"/>
        <w:gridCol w:w="670"/>
        <w:gridCol w:w="721"/>
        <w:gridCol w:w="688"/>
        <w:gridCol w:w="700"/>
        <w:gridCol w:w="641"/>
        <w:gridCol w:w="641"/>
        <w:gridCol w:w="653"/>
        <w:gridCol w:w="623"/>
        <w:gridCol w:w="607"/>
        <w:gridCol w:w="618"/>
        <w:gridCol w:w="717"/>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0" w:hRule="atLeast"/>
        </w:trPr>
        <w:tc>
          <w:tcPr>
            <w:tcW w:w="1103" w:type="dxa"/>
            <w:noWrap/>
          </w:tcPr>
          <w:p>
            <w:pPr>
              <w:pStyle w:val="102"/>
              <w:rPr>
                <w:rFonts w:cs="Times New Roman"/>
                <w:b/>
                <w:bCs w:val="0"/>
              </w:rPr>
            </w:pPr>
          </w:p>
        </w:tc>
        <w:tc>
          <w:tcPr>
            <w:tcW w:w="501" w:type="dxa"/>
            <w:noWrap/>
          </w:tcPr>
          <w:p>
            <w:pPr>
              <w:pStyle w:val="102"/>
              <w:jc w:val="center"/>
              <w:rPr>
                <w:rFonts w:cs="Times New Roman"/>
                <w:b/>
                <w:bCs w:val="0"/>
              </w:rPr>
            </w:pPr>
          </w:p>
        </w:tc>
        <w:tc>
          <w:tcPr>
            <w:tcW w:w="739" w:type="dxa"/>
            <w:noWrap/>
          </w:tcPr>
          <w:p>
            <w:pPr>
              <w:pStyle w:val="102"/>
              <w:jc w:val="center"/>
              <w:rPr>
                <w:rFonts w:cs="Times New Roman"/>
                <w:b/>
                <w:bCs w:val="0"/>
              </w:rPr>
            </w:pPr>
          </w:p>
        </w:tc>
        <w:tc>
          <w:tcPr>
            <w:tcW w:w="728" w:type="dxa"/>
            <w:noWrap/>
          </w:tcPr>
          <w:p>
            <w:pPr>
              <w:pStyle w:val="102"/>
              <w:jc w:val="center"/>
              <w:rPr>
                <w:rFonts w:cs="Times New Roman"/>
                <w:b/>
                <w:bCs w:val="0"/>
              </w:rPr>
            </w:pPr>
          </w:p>
        </w:tc>
        <w:tc>
          <w:tcPr>
            <w:tcW w:w="3238" w:type="dxa"/>
            <w:gridSpan w:val="5"/>
            <w:noWrap/>
          </w:tcPr>
          <w:p>
            <w:pPr>
              <w:pStyle w:val="102"/>
              <w:jc w:val="center"/>
              <w:rPr>
                <w:rFonts w:cs="Times New Roman"/>
                <w:b/>
                <w:bCs w:val="0"/>
              </w:rPr>
            </w:pPr>
            <w:r>
              <w:rPr>
                <w:rFonts w:cs="Times New Roman"/>
                <w:b/>
                <w:bCs w:val="0"/>
              </w:rPr>
              <w:t>Pre-COVID Volumes (10/02/2019)</w:t>
            </w:r>
          </w:p>
        </w:tc>
        <w:tc>
          <w:tcPr>
            <w:tcW w:w="528" w:type="dxa"/>
            <w:noWrap/>
          </w:tcPr>
          <w:p>
            <w:pPr>
              <w:pStyle w:val="102"/>
              <w:jc w:val="center"/>
              <w:rPr>
                <w:rFonts w:cs="Times New Roman"/>
                <w:b/>
                <w:bCs w:val="0"/>
              </w:rPr>
            </w:pPr>
          </w:p>
        </w:tc>
        <w:tc>
          <w:tcPr>
            <w:tcW w:w="675" w:type="dxa"/>
            <w:noWrap/>
          </w:tcPr>
          <w:p>
            <w:pPr>
              <w:pStyle w:val="102"/>
              <w:jc w:val="center"/>
              <w:rPr>
                <w:rFonts w:cs="Times New Roman"/>
                <w:b/>
                <w:bCs w:val="0"/>
              </w:rPr>
            </w:pPr>
          </w:p>
        </w:tc>
        <w:tc>
          <w:tcPr>
            <w:tcW w:w="518" w:type="dxa"/>
            <w:noWrap/>
          </w:tcPr>
          <w:p>
            <w:pPr>
              <w:pStyle w:val="102"/>
              <w:jc w:val="center"/>
              <w:rPr>
                <w:rFonts w:cs="Times New Roman"/>
                <w:b/>
                <w:bCs w:val="0"/>
              </w:rPr>
            </w:pPr>
          </w:p>
        </w:tc>
        <w:tc>
          <w:tcPr>
            <w:tcW w:w="480" w:type="dxa"/>
            <w:noWrap/>
          </w:tcPr>
          <w:p>
            <w:pPr>
              <w:pStyle w:val="102"/>
              <w:jc w:val="center"/>
              <w:rPr>
                <w:rFonts w:cs="Times New Roman"/>
                <w:b/>
                <w:bCs w:val="0"/>
              </w:rPr>
            </w:pPr>
          </w:p>
        </w:tc>
        <w:tc>
          <w:tcPr>
            <w:tcW w:w="777" w:type="dxa"/>
            <w:noWrap/>
          </w:tcPr>
          <w:p>
            <w:pPr>
              <w:pStyle w:val="102"/>
              <w:jc w:val="center"/>
              <w:rPr>
                <w:rFonts w:cs="Times New Roman"/>
                <w:b/>
                <w:bCs w:val="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0" w:hRule="atLeast"/>
        </w:trPr>
        <w:tc>
          <w:tcPr>
            <w:tcW w:w="1103" w:type="dxa"/>
            <w:shd w:val="clear" w:color="auto" w:fill="F1F1F1" w:themeFill="background1" w:themeFillShade="F2"/>
            <w:noWrap/>
          </w:tcPr>
          <w:p>
            <w:pPr>
              <w:pStyle w:val="102"/>
              <w:rPr>
                <w:rFonts w:cs="Times New Roman"/>
                <w:b/>
                <w:bCs w:val="0"/>
              </w:rPr>
            </w:pPr>
            <w:r>
              <w:rPr>
                <w:rFonts w:cs="Times New Roman"/>
                <w:b/>
                <w:bCs w:val="0"/>
              </w:rPr>
              <w:t>Vehicle Type</w:t>
            </w:r>
          </w:p>
        </w:tc>
        <w:tc>
          <w:tcPr>
            <w:tcW w:w="501" w:type="dxa"/>
            <w:shd w:val="clear" w:color="auto" w:fill="F1F1F1" w:themeFill="background1" w:themeFillShade="F2"/>
            <w:noWrap/>
          </w:tcPr>
          <w:p>
            <w:pPr>
              <w:pStyle w:val="102"/>
              <w:jc w:val="center"/>
              <w:rPr>
                <w:rFonts w:cs="Times New Roman"/>
              </w:rPr>
            </w:pPr>
            <w:r>
              <w:rPr>
                <w:rFonts w:cs="Times New Roman"/>
              </w:rPr>
              <w:t>EBL</w:t>
            </w:r>
          </w:p>
        </w:tc>
        <w:tc>
          <w:tcPr>
            <w:tcW w:w="739" w:type="dxa"/>
            <w:shd w:val="clear" w:color="auto" w:fill="F1F1F1" w:themeFill="background1" w:themeFillShade="F2"/>
            <w:noWrap/>
          </w:tcPr>
          <w:p>
            <w:pPr>
              <w:pStyle w:val="102"/>
              <w:jc w:val="center"/>
              <w:rPr>
                <w:rFonts w:cs="Times New Roman"/>
              </w:rPr>
            </w:pPr>
            <w:r>
              <w:rPr>
                <w:rFonts w:cs="Times New Roman"/>
              </w:rPr>
              <w:t>EBT</w:t>
            </w:r>
          </w:p>
        </w:tc>
        <w:tc>
          <w:tcPr>
            <w:tcW w:w="728" w:type="dxa"/>
            <w:shd w:val="clear" w:color="auto" w:fill="F1F1F1" w:themeFill="background1" w:themeFillShade="F2"/>
            <w:noWrap/>
          </w:tcPr>
          <w:p>
            <w:pPr>
              <w:pStyle w:val="102"/>
              <w:jc w:val="center"/>
              <w:rPr>
                <w:rFonts w:cs="Times New Roman"/>
              </w:rPr>
            </w:pPr>
            <w:r>
              <w:rPr>
                <w:rFonts w:cs="Times New Roman"/>
              </w:rPr>
              <w:t>EBR</w:t>
            </w:r>
          </w:p>
        </w:tc>
        <w:tc>
          <w:tcPr>
            <w:tcW w:w="786" w:type="dxa"/>
            <w:shd w:val="clear" w:color="auto" w:fill="F1F1F1" w:themeFill="background1" w:themeFillShade="F2"/>
            <w:noWrap/>
          </w:tcPr>
          <w:p>
            <w:pPr>
              <w:pStyle w:val="102"/>
              <w:jc w:val="center"/>
              <w:rPr>
                <w:rFonts w:cs="Times New Roman"/>
              </w:rPr>
            </w:pPr>
            <w:r>
              <w:rPr>
                <w:rFonts w:cs="Times New Roman"/>
              </w:rPr>
              <w:t>WBL</w:t>
            </w:r>
          </w:p>
        </w:tc>
        <w:tc>
          <w:tcPr>
            <w:tcW w:w="655" w:type="dxa"/>
            <w:shd w:val="clear" w:color="auto" w:fill="F1F1F1" w:themeFill="background1" w:themeFillShade="F2"/>
            <w:noWrap/>
          </w:tcPr>
          <w:p>
            <w:pPr>
              <w:pStyle w:val="102"/>
              <w:jc w:val="center"/>
              <w:rPr>
                <w:rFonts w:cs="Times New Roman"/>
              </w:rPr>
            </w:pPr>
            <w:r>
              <w:rPr>
                <w:rFonts w:cs="Times New Roman"/>
              </w:rPr>
              <w:t>WBT</w:t>
            </w:r>
          </w:p>
        </w:tc>
        <w:tc>
          <w:tcPr>
            <w:tcW w:w="652" w:type="dxa"/>
            <w:shd w:val="clear" w:color="auto" w:fill="F1F1F1" w:themeFill="background1" w:themeFillShade="F2"/>
            <w:noWrap/>
          </w:tcPr>
          <w:p>
            <w:pPr>
              <w:pStyle w:val="102"/>
              <w:jc w:val="center"/>
              <w:rPr>
                <w:rFonts w:cs="Times New Roman"/>
              </w:rPr>
            </w:pPr>
            <w:r>
              <w:rPr>
                <w:rFonts w:cs="Times New Roman"/>
              </w:rPr>
              <w:t>WBR</w:t>
            </w:r>
          </w:p>
        </w:tc>
        <w:tc>
          <w:tcPr>
            <w:tcW w:w="645" w:type="dxa"/>
            <w:shd w:val="clear" w:color="auto" w:fill="F1F1F1" w:themeFill="background1" w:themeFillShade="F2"/>
            <w:noWrap/>
          </w:tcPr>
          <w:p>
            <w:pPr>
              <w:pStyle w:val="102"/>
              <w:jc w:val="center"/>
              <w:rPr>
                <w:rFonts w:cs="Times New Roman"/>
              </w:rPr>
            </w:pPr>
            <w:r>
              <w:rPr>
                <w:rFonts w:cs="Times New Roman"/>
              </w:rPr>
              <w:t>NBL</w:t>
            </w:r>
          </w:p>
        </w:tc>
        <w:tc>
          <w:tcPr>
            <w:tcW w:w="498" w:type="dxa"/>
            <w:shd w:val="clear" w:color="auto" w:fill="F1F1F1" w:themeFill="background1" w:themeFillShade="F2"/>
            <w:noWrap/>
          </w:tcPr>
          <w:p>
            <w:pPr>
              <w:pStyle w:val="102"/>
              <w:jc w:val="center"/>
              <w:rPr>
                <w:rFonts w:cs="Times New Roman"/>
              </w:rPr>
            </w:pPr>
            <w:r>
              <w:rPr>
                <w:rFonts w:cs="Times New Roman"/>
              </w:rPr>
              <w:t>NBT</w:t>
            </w:r>
          </w:p>
        </w:tc>
        <w:tc>
          <w:tcPr>
            <w:tcW w:w="528" w:type="dxa"/>
            <w:shd w:val="clear" w:color="auto" w:fill="F1F1F1" w:themeFill="background1" w:themeFillShade="F2"/>
            <w:noWrap/>
          </w:tcPr>
          <w:p>
            <w:pPr>
              <w:pStyle w:val="102"/>
              <w:jc w:val="center"/>
              <w:rPr>
                <w:rFonts w:cs="Times New Roman"/>
              </w:rPr>
            </w:pPr>
            <w:r>
              <w:rPr>
                <w:rFonts w:cs="Times New Roman"/>
              </w:rPr>
              <w:t>NBR</w:t>
            </w:r>
          </w:p>
        </w:tc>
        <w:tc>
          <w:tcPr>
            <w:tcW w:w="675" w:type="dxa"/>
            <w:shd w:val="clear" w:color="auto" w:fill="F1F1F1" w:themeFill="background1" w:themeFillShade="F2"/>
            <w:noWrap/>
          </w:tcPr>
          <w:p>
            <w:pPr>
              <w:pStyle w:val="102"/>
              <w:jc w:val="center"/>
              <w:rPr>
                <w:rFonts w:cs="Times New Roman"/>
              </w:rPr>
            </w:pPr>
            <w:r>
              <w:rPr>
                <w:rFonts w:cs="Times New Roman"/>
              </w:rPr>
              <w:t>SBL</w:t>
            </w:r>
          </w:p>
        </w:tc>
        <w:tc>
          <w:tcPr>
            <w:tcW w:w="518" w:type="dxa"/>
            <w:shd w:val="clear" w:color="auto" w:fill="F1F1F1" w:themeFill="background1" w:themeFillShade="F2"/>
            <w:noWrap/>
          </w:tcPr>
          <w:p>
            <w:pPr>
              <w:pStyle w:val="102"/>
              <w:jc w:val="center"/>
              <w:rPr>
                <w:rFonts w:cs="Times New Roman"/>
              </w:rPr>
            </w:pPr>
            <w:r>
              <w:rPr>
                <w:rFonts w:cs="Times New Roman"/>
              </w:rPr>
              <w:t>SBT</w:t>
            </w:r>
          </w:p>
        </w:tc>
        <w:tc>
          <w:tcPr>
            <w:tcW w:w="480" w:type="dxa"/>
            <w:shd w:val="clear" w:color="auto" w:fill="F1F1F1" w:themeFill="background1" w:themeFillShade="F2"/>
            <w:noWrap/>
          </w:tcPr>
          <w:p>
            <w:pPr>
              <w:pStyle w:val="102"/>
              <w:jc w:val="center"/>
              <w:rPr>
                <w:rFonts w:cs="Times New Roman"/>
              </w:rPr>
            </w:pPr>
            <w:r>
              <w:rPr>
                <w:rFonts w:cs="Times New Roman"/>
              </w:rPr>
              <w:t>SBR</w:t>
            </w:r>
          </w:p>
        </w:tc>
        <w:tc>
          <w:tcPr>
            <w:tcW w:w="777" w:type="dxa"/>
            <w:shd w:val="clear" w:color="auto" w:fill="F1F1F1" w:themeFill="background1" w:themeFillShade="F2"/>
            <w:noWrap/>
          </w:tcPr>
          <w:p>
            <w:pPr>
              <w:pStyle w:val="102"/>
              <w:jc w:val="center"/>
              <w:rPr>
                <w:rFonts w:cs="Times New Roman"/>
              </w:rPr>
            </w:pPr>
            <w:r>
              <w:rPr>
                <w:rFonts w:cs="Times New Roman"/>
              </w:rPr>
              <w:t>Total</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58" w:hRule="atLeast"/>
        </w:trPr>
        <w:tc>
          <w:tcPr>
            <w:tcW w:w="1103" w:type="dxa"/>
            <w:vMerge w:val="restart"/>
            <w:noWrap/>
          </w:tcPr>
          <w:p>
            <w:pPr>
              <w:pStyle w:val="102"/>
              <w:rPr>
                <w:rFonts w:cs="Times New Roman"/>
                <w:b/>
                <w:bCs w:val="0"/>
              </w:rPr>
            </w:pPr>
            <w:r>
              <w:rPr>
                <w:rFonts w:cs="Times New Roman"/>
                <w:b/>
                <w:bCs w:val="0"/>
              </w:rPr>
              <w:t>Cars</w:t>
            </w:r>
          </w:p>
        </w:tc>
        <w:tc>
          <w:tcPr>
            <w:tcW w:w="501" w:type="dxa"/>
            <w:noWrap/>
          </w:tcPr>
          <w:p>
            <w:pPr>
              <w:pStyle w:val="102"/>
              <w:jc w:val="center"/>
              <w:rPr>
                <w:rFonts w:cs="Times New Roman"/>
              </w:rPr>
            </w:pPr>
            <w:r>
              <w:rPr>
                <w:rFonts w:cs="Times New Roman"/>
              </w:rPr>
              <w:t>43</w:t>
            </w:r>
          </w:p>
        </w:tc>
        <w:tc>
          <w:tcPr>
            <w:tcW w:w="739" w:type="dxa"/>
            <w:noWrap/>
          </w:tcPr>
          <w:p>
            <w:pPr>
              <w:pStyle w:val="102"/>
              <w:jc w:val="center"/>
              <w:rPr>
                <w:rFonts w:cs="Times New Roman"/>
              </w:rPr>
            </w:pPr>
            <w:r>
              <w:rPr>
                <w:rFonts w:cs="Times New Roman"/>
              </w:rPr>
              <w:t>321</w:t>
            </w:r>
          </w:p>
        </w:tc>
        <w:tc>
          <w:tcPr>
            <w:tcW w:w="728" w:type="dxa"/>
            <w:noWrap/>
          </w:tcPr>
          <w:p>
            <w:pPr>
              <w:pStyle w:val="102"/>
              <w:jc w:val="center"/>
              <w:rPr>
                <w:rFonts w:cs="Times New Roman"/>
              </w:rPr>
            </w:pPr>
            <w:r>
              <w:rPr>
                <w:rFonts w:cs="Times New Roman"/>
              </w:rPr>
              <w:t>79</w:t>
            </w:r>
          </w:p>
        </w:tc>
        <w:tc>
          <w:tcPr>
            <w:tcW w:w="786" w:type="dxa"/>
            <w:noWrap/>
          </w:tcPr>
          <w:p>
            <w:pPr>
              <w:pStyle w:val="102"/>
              <w:jc w:val="center"/>
              <w:rPr>
                <w:rFonts w:cs="Times New Roman"/>
              </w:rPr>
            </w:pPr>
            <w:r>
              <w:rPr>
                <w:rFonts w:cs="Times New Roman"/>
              </w:rPr>
              <w:t>146</w:t>
            </w:r>
          </w:p>
        </w:tc>
        <w:tc>
          <w:tcPr>
            <w:tcW w:w="655" w:type="dxa"/>
            <w:noWrap/>
          </w:tcPr>
          <w:p>
            <w:pPr>
              <w:pStyle w:val="102"/>
              <w:jc w:val="center"/>
              <w:rPr>
                <w:rFonts w:cs="Times New Roman"/>
              </w:rPr>
            </w:pPr>
            <w:r>
              <w:rPr>
                <w:rFonts w:cs="Times New Roman"/>
              </w:rPr>
              <w:t>469</w:t>
            </w:r>
          </w:p>
        </w:tc>
        <w:tc>
          <w:tcPr>
            <w:tcW w:w="652" w:type="dxa"/>
            <w:noWrap/>
          </w:tcPr>
          <w:p>
            <w:pPr>
              <w:pStyle w:val="102"/>
              <w:jc w:val="center"/>
              <w:rPr>
                <w:rFonts w:cs="Times New Roman"/>
              </w:rPr>
            </w:pPr>
            <w:r>
              <w:rPr>
                <w:rFonts w:cs="Times New Roman"/>
              </w:rPr>
              <w:t>101</w:t>
            </w:r>
          </w:p>
        </w:tc>
        <w:tc>
          <w:tcPr>
            <w:tcW w:w="645" w:type="dxa"/>
            <w:noWrap/>
          </w:tcPr>
          <w:p>
            <w:pPr>
              <w:pStyle w:val="102"/>
              <w:jc w:val="center"/>
              <w:rPr>
                <w:rFonts w:cs="Times New Roman"/>
              </w:rPr>
            </w:pPr>
            <w:r>
              <w:rPr>
                <w:rFonts w:cs="Times New Roman"/>
              </w:rPr>
              <w:t>69</w:t>
            </w:r>
          </w:p>
        </w:tc>
        <w:tc>
          <w:tcPr>
            <w:tcW w:w="498" w:type="dxa"/>
            <w:noWrap/>
          </w:tcPr>
          <w:p>
            <w:pPr>
              <w:pStyle w:val="102"/>
              <w:jc w:val="center"/>
              <w:rPr>
                <w:rFonts w:cs="Times New Roman"/>
              </w:rPr>
            </w:pPr>
            <w:r>
              <w:rPr>
                <w:rFonts w:cs="Times New Roman"/>
              </w:rPr>
              <w:t>55</w:t>
            </w:r>
          </w:p>
        </w:tc>
        <w:tc>
          <w:tcPr>
            <w:tcW w:w="528" w:type="dxa"/>
            <w:noWrap/>
          </w:tcPr>
          <w:p>
            <w:pPr>
              <w:pStyle w:val="102"/>
              <w:jc w:val="center"/>
              <w:rPr>
                <w:rFonts w:cs="Times New Roman"/>
              </w:rPr>
            </w:pPr>
            <w:r>
              <w:rPr>
                <w:rFonts w:cs="Times New Roman"/>
              </w:rPr>
              <w:t>41</w:t>
            </w:r>
          </w:p>
        </w:tc>
        <w:tc>
          <w:tcPr>
            <w:tcW w:w="675" w:type="dxa"/>
            <w:noWrap/>
          </w:tcPr>
          <w:p>
            <w:pPr>
              <w:pStyle w:val="102"/>
              <w:jc w:val="center"/>
              <w:rPr>
                <w:rFonts w:cs="Times New Roman"/>
              </w:rPr>
            </w:pPr>
            <w:r>
              <w:rPr>
                <w:rFonts w:cs="Times New Roman"/>
              </w:rPr>
              <w:t>94</w:t>
            </w:r>
          </w:p>
        </w:tc>
        <w:tc>
          <w:tcPr>
            <w:tcW w:w="518" w:type="dxa"/>
            <w:noWrap/>
          </w:tcPr>
          <w:p>
            <w:pPr>
              <w:pStyle w:val="102"/>
              <w:jc w:val="center"/>
              <w:rPr>
                <w:rFonts w:cs="Times New Roman"/>
              </w:rPr>
            </w:pPr>
            <w:r>
              <w:rPr>
                <w:rFonts w:cs="Times New Roman"/>
              </w:rPr>
              <w:t>191</w:t>
            </w:r>
          </w:p>
        </w:tc>
        <w:tc>
          <w:tcPr>
            <w:tcW w:w="480" w:type="dxa"/>
            <w:noWrap/>
          </w:tcPr>
          <w:p>
            <w:pPr>
              <w:pStyle w:val="102"/>
              <w:jc w:val="center"/>
              <w:rPr>
                <w:rFonts w:cs="Times New Roman"/>
              </w:rPr>
            </w:pPr>
            <w:r>
              <w:rPr>
                <w:rFonts w:cs="Times New Roman"/>
              </w:rPr>
              <w:t>113</w:t>
            </w:r>
          </w:p>
        </w:tc>
        <w:tc>
          <w:tcPr>
            <w:tcW w:w="777" w:type="dxa"/>
            <w:noWrap/>
          </w:tcPr>
          <w:p>
            <w:pPr>
              <w:pStyle w:val="102"/>
              <w:jc w:val="center"/>
              <w:rPr>
                <w:rFonts w:cs="Times New Roman"/>
              </w:rPr>
            </w:pPr>
            <w:r>
              <w:rPr>
                <w:rFonts w:cs="Times New Roman"/>
              </w:rPr>
              <w:t>1722</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trPr>
        <w:tc>
          <w:tcPr>
            <w:tcW w:w="1103" w:type="dxa"/>
            <w:vMerge w:val="continue"/>
            <w:shd w:val="clear" w:color="auto" w:fill="F1F1F1" w:themeFill="background1" w:themeFillShade="F2"/>
          </w:tcPr>
          <w:p>
            <w:pPr>
              <w:jc w:val="left"/>
              <w:rPr>
                <w:rFonts w:cs="Times New Roman" w:eastAsiaTheme="minorHAnsi"/>
                <w:b/>
                <w:bCs/>
              </w:rPr>
            </w:pPr>
          </w:p>
        </w:tc>
        <w:tc>
          <w:tcPr>
            <w:tcW w:w="1969" w:type="dxa"/>
            <w:gridSpan w:val="3"/>
            <w:shd w:val="clear" w:color="auto" w:fill="F1F1F1" w:themeFill="background1" w:themeFillShade="F2"/>
            <w:noWrap/>
          </w:tcPr>
          <w:p>
            <w:pPr>
              <w:pStyle w:val="102"/>
              <w:jc w:val="center"/>
              <w:rPr>
                <w:rFonts w:cs="Times New Roman"/>
              </w:rPr>
            </w:pPr>
            <w:r>
              <w:rPr>
                <w:rFonts w:cs="Times New Roman"/>
              </w:rPr>
              <w:t>443</w:t>
            </w:r>
          </w:p>
        </w:tc>
        <w:tc>
          <w:tcPr>
            <w:tcW w:w="2094" w:type="dxa"/>
            <w:gridSpan w:val="3"/>
            <w:shd w:val="clear" w:color="auto" w:fill="F1F1F1" w:themeFill="background1" w:themeFillShade="F2"/>
            <w:noWrap/>
          </w:tcPr>
          <w:p>
            <w:pPr>
              <w:pStyle w:val="102"/>
              <w:jc w:val="center"/>
              <w:rPr>
                <w:rFonts w:cs="Times New Roman"/>
              </w:rPr>
            </w:pPr>
            <w:r>
              <w:rPr>
                <w:rFonts w:cs="Times New Roman"/>
              </w:rPr>
              <w:t>716</w:t>
            </w:r>
          </w:p>
        </w:tc>
        <w:tc>
          <w:tcPr>
            <w:tcW w:w="1672" w:type="dxa"/>
            <w:gridSpan w:val="3"/>
            <w:shd w:val="clear" w:color="auto" w:fill="F1F1F1" w:themeFill="background1" w:themeFillShade="F2"/>
            <w:noWrap/>
          </w:tcPr>
          <w:p>
            <w:pPr>
              <w:pStyle w:val="102"/>
              <w:jc w:val="center"/>
              <w:rPr>
                <w:rFonts w:cs="Times New Roman"/>
              </w:rPr>
            </w:pPr>
            <w:r>
              <w:rPr>
                <w:rFonts w:cs="Times New Roman"/>
              </w:rPr>
              <w:t>165</w:t>
            </w:r>
          </w:p>
        </w:tc>
        <w:tc>
          <w:tcPr>
            <w:tcW w:w="1675" w:type="dxa"/>
            <w:gridSpan w:val="3"/>
            <w:shd w:val="clear" w:color="auto" w:fill="F1F1F1" w:themeFill="background1" w:themeFillShade="F2"/>
            <w:noWrap/>
          </w:tcPr>
          <w:p>
            <w:pPr>
              <w:pStyle w:val="102"/>
              <w:jc w:val="center"/>
              <w:rPr>
                <w:rFonts w:cs="Times New Roman"/>
              </w:rPr>
            </w:pPr>
            <w:r>
              <w:rPr>
                <w:rFonts w:cs="Times New Roman"/>
              </w:rPr>
              <w:t>398</w:t>
            </w:r>
          </w:p>
        </w:tc>
        <w:tc>
          <w:tcPr>
            <w:tcW w:w="777" w:type="dxa"/>
            <w:shd w:val="clear" w:color="auto" w:fill="F1F1F1" w:themeFill="background1" w:themeFillShade="F2"/>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83" w:hRule="atLeast"/>
        </w:trPr>
        <w:tc>
          <w:tcPr>
            <w:tcW w:w="1103" w:type="dxa"/>
            <w:vMerge w:val="restart"/>
            <w:noWrap/>
          </w:tcPr>
          <w:p>
            <w:pPr>
              <w:pStyle w:val="102"/>
              <w:rPr>
                <w:rFonts w:cs="Times New Roman"/>
                <w:b/>
                <w:bCs w:val="0"/>
              </w:rPr>
            </w:pPr>
            <w:r>
              <w:rPr>
                <w:rFonts w:cs="Times New Roman"/>
                <w:b/>
                <w:bCs w:val="0"/>
              </w:rPr>
              <w:t>Trucks</w:t>
            </w:r>
          </w:p>
        </w:tc>
        <w:tc>
          <w:tcPr>
            <w:tcW w:w="501" w:type="dxa"/>
            <w:noWrap/>
          </w:tcPr>
          <w:p>
            <w:pPr>
              <w:pStyle w:val="102"/>
              <w:jc w:val="center"/>
              <w:rPr>
                <w:rFonts w:cs="Times New Roman"/>
              </w:rPr>
            </w:pPr>
            <w:r>
              <w:rPr>
                <w:rFonts w:cs="Times New Roman"/>
              </w:rPr>
              <w:t>4</w:t>
            </w:r>
          </w:p>
        </w:tc>
        <w:tc>
          <w:tcPr>
            <w:tcW w:w="739" w:type="dxa"/>
            <w:noWrap/>
          </w:tcPr>
          <w:p>
            <w:pPr>
              <w:pStyle w:val="102"/>
              <w:jc w:val="center"/>
              <w:rPr>
                <w:rFonts w:cs="Times New Roman"/>
              </w:rPr>
            </w:pPr>
            <w:r>
              <w:rPr>
                <w:rFonts w:cs="Times New Roman"/>
              </w:rPr>
              <w:t>14</w:t>
            </w:r>
          </w:p>
        </w:tc>
        <w:tc>
          <w:tcPr>
            <w:tcW w:w="728" w:type="dxa"/>
            <w:noWrap/>
          </w:tcPr>
          <w:p>
            <w:pPr>
              <w:pStyle w:val="102"/>
              <w:jc w:val="center"/>
              <w:rPr>
                <w:rFonts w:cs="Times New Roman"/>
              </w:rPr>
            </w:pPr>
            <w:r>
              <w:rPr>
                <w:rFonts w:cs="Times New Roman"/>
              </w:rPr>
              <w:t>19</w:t>
            </w:r>
          </w:p>
        </w:tc>
        <w:tc>
          <w:tcPr>
            <w:tcW w:w="786" w:type="dxa"/>
            <w:noWrap/>
          </w:tcPr>
          <w:p>
            <w:pPr>
              <w:pStyle w:val="102"/>
              <w:jc w:val="center"/>
              <w:rPr>
                <w:rFonts w:cs="Times New Roman"/>
              </w:rPr>
            </w:pPr>
            <w:r>
              <w:rPr>
                <w:rFonts w:cs="Times New Roman"/>
              </w:rPr>
              <w:t>32</w:t>
            </w:r>
          </w:p>
        </w:tc>
        <w:tc>
          <w:tcPr>
            <w:tcW w:w="655" w:type="dxa"/>
            <w:noWrap/>
          </w:tcPr>
          <w:p>
            <w:pPr>
              <w:pStyle w:val="102"/>
              <w:jc w:val="center"/>
              <w:rPr>
                <w:rFonts w:cs="Times New Roman"/>
              </w:rPr>
            </w:pPr>
            <w:r>
              <w:rPr>
                <w:rFonts w:cs="Times New Roman"/>
              </w:rPr>
              <w:t>30</w:t>
            </w:r>
          </w:p>
        </w:tc>
        <w:tc>
          <w:tcPr>
            <w:tcW w:w="652" w:type="dxa"/>
            <w:noWrap/>
          </w:tcPr>
          <w:p>
            <w:pPr>
              <w:pStyle w:val="102"/>
              <w:jc w:val="center"/>
              <w:rPr>
                <w:rFonts w:cs="Times New Roman"/>
              </w:rPr>
            </w:pPr>
            <w:r>
              <w:rPr>
                <w:rFonts w:cs="Times New Roman"/>
              </w:rPr>
              <w:t>10</w:t>
            </w:r>
          </w:p>
        </w:tc>
        <w:tc>
          <w:tcPr>
            <w:tcW w:w="645" w:type="dxa"/>
            <w:noWrap/>
          </w:tcPr>
          <w:p>
            <w:pPr>
              <w:pStyle w:val="102"/>
              <w:jc w:val="center"/>
              <w:rPr>
                <w:rFonts w:cs="Times New Roman"/>
              </w:rPr>
            </w:pPr>
            <w:r>
              <w:rPr>
                <w:rFonts w:cs="Times New Roman"/>
              </w:rPr>
              <w:t>37</w:t>
            </w:r>
          </w:p>
        </w:tc>
        <w:tc>
          <w:tcPr>
            <w:tcW w:w="498" w:type="dxa"/>
            <w:noWrap/>
          </w:tcPr>
          <w:p>
            <w:pPr>
              <w:pStyle w:val="102"/>
              <w:jc w:val="center"/>
              <w:rPr>
                <w:rFonts w:cs="Times New Roman"/>
              </w:rPr>
            </w:pPr>
            <w:r>
              <w:rPr>
                <w:rFonts w:cs="Times New Roman"/>
              </w:rPr>
              <w:t>13</w:t>
            </w:r>
          </w:p>
        </w:tc>
        <w:tc>
          <w:tcPr>
            <w:tcW w:w="528" w:type="dxa"/>
            <w:noWrap/>
          </w:tcPr>
          <w:p>
            <w:pPr>
              <w:pStyle w:val="102"/>
              <w:jc w:val="center"/>
              <w:rPr>
                <w:rFonts w:cs="Times New Roman"/>
              </w:rPr>
            </w:pPr>
            <w:r>
              <w:rPr>
                <w:rFonts w:cs="Times New Roman"/>
              </w:rPr>
              <w:t>28</w:t>
            </w:r>
          </w:p>
        </w:tc>
        <w:tc>
          <w:tcPr>
            <w:tcW w:w="675" w:type="dxa"/>
            <w:noWrap/>
          </w:tcPr>
          <w:p>
            <w:pPr>
              <w:pStyle w:val="102"/>
              <w:jc w:val="center"/>
              <w:rPr>
                <w:rFonts w:cs="Times New Roman"/>
              </w:rPr>
            </w:pPr>
            <w:r>
              <w:rPr>
                <w:rFonts w:cs="Times New Roman"/>
              </w:rPr>
              <w:t>28</w:t>
            </w:r>
          </w:p>
        </w:tc>
        <w:tc>
          <w:tcPr>
            <w:tcW w:w="518" w:type="dxa"/>
            <w:noWrap/>
          </w:tcPr>
          <w:p>
            <w:pPr>
              <w:pStyle w:val="102"/>
              <w:jc w:val="center"/>
              <w:rPr>
                <w:rFonts w:cs="Times New Roman"/>
              </w:rPr>
            </w:pPr>
            <w:r>
              <w:rPr>
                <w:rFonts w:cs="Times New Roman"/>
              </w:rPr>
              <w:t>49</w:t>
            </w:r>
          </w:p>
        </w:tc>
        <w:tc>
          <w:tcPr>
            <w:tcW w:w="480" w:type="dxa"/>
            <w:noWrap/>
          </w:tcPr>
          <w:p>
            <w:pPr>
              <w:pStyle w:val="102"/>
              <w:jc w:val="center"/>
              <w:rPr>
                <w:rFonts w:cs="Times New Roman"/>
              </w:rPr>
            </w:pPr>
            <w:r>
              <w:rPr>
                <w:rFonts w:cs="Times New Roman"/>
              </w:rPr>
              <w:t>23</w:t>
            </w:r>
          </w:p>
        </w:tc>
        <w:tc>
          <w:tcPr>
            <w:tcW w:w="777" w:type="dxa"/>
            <w:noWrap/>
          </w:tcPr>
          <w:p>
            <w:pPr>
              <w:pStyle w:val="102"/>
              <w:jc w:val="center"/>
              <w:rPr>
                <w:rFonts w:cs="Times New Roman"/>
              </w:rPr>
            </w:pPr>
            <w:r>
              <w:rPr>
                <w:rFonts w:cs="Times New Roman"/>
              </w:rPr>
              <w:t>287</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91" w:hRule="atLeast"/>
        </w:trPr>
        <w:tc>
          <w:tcPr>
            <w:tcW w:w="1103" w:type="dxa"/>
            <w:vMerge w:val="continue"/>
            <w:shd w:val="clear" w:color="auto" w:fill="F1F1F1" w:themeFill="background1" w:themeFillShade="F2"/>
          </w:tcPr>
          <w:p>
            <w:pPr>
              <w:jc w:val="left"/>
              <w:rPr>
                <w:rFonts w:cs="Times New Roman" w:eastAsiaTheme="minorHAnsi"/>
                <w:b/>
                <w:bCs/>
              </w:rPr>
            </w:pPr>
          </w:p>
        </w:tc>
        <w:tc>
          <w:tcPr>
            <w:tcW w:w="1969" w:type="dxa"/>
            <w:gridSpan w:val="3"/>
            <w:shd w:val="clear" w:color="auto" w:fill="F1F1F1" w:themeFill="background1" w:themeFillShade="F2"/>
            <w:noWrap/>
          </w:tcPr>
          <w:p>
            <w:pPr>
              <w:pStyle w:val="102"/>
              <w:jc w:val="center"/>
              <w:rPr>
                <w:rFonts w:cs="Times New Roman"/>
              </w:rPr>
            </w:pPr>
            <w:r>
              <w:rPr>
                <w:rFonts w:cs="Times New Roman"/>
              </w:rPr>
              <w:t>37</w:t>
            </w:r>
          </w:p>
        </w:tc>
        <w:tc>
          <w:tcPr>
            <w:tcW w:w="2094" w:type="dxa"/>
            <w:gridSpan w:val="3"/>
            <w:shd w:val="clear" w:color="auto" w:fill="F1F1F1" w:themeFill="background1" w:themeFillShade="F2"/>
            <w:noWrap/>
          </w:tcPr>
          <w:p>
            <w:pPr>
              <w:pStyle w:val="102"/>
              <w:jc w:val="center"/>
              <w:rPr>
                <w:rFonts w:cs="Times New Roman"/>
              </w:rPr>
            </w:pPr>
            <w:r>
              <w:rPr>
                <w:rFonts w:cs="Times New Roman"/>
              </w:rPr>
              <w:t>72</w:t>
            </w:r>
          </w:p>
        </w:tc>
        <w:tc>
          <w:tcPr>
            <w:tcW w:w="1672" w:type="dxa"/>
            <w:gridSpan w:val="3"/>
            <w:shd w:val="clear" w:color="auto" w:fill="F1F1F1" w:themeFill="background1" w:themeFillShade="F2"/>
            <w:noWrap/>
          </w:tcPr>
          <w:p>
            <w:pPr>
              <w:pStyle w:val="102"/>
              <w:jc w:val="center"/>
              <w:rPr>
                <w:rFonts w:cs="Times New Roman"/>
              </w:rPr>
            </w:pPr>
            <w:r>
              <w:rPr>
                <w:rFonts w:cs="Times New Roman"/>
              </w:rPr>
              <w:t>78</w:t>
            </w:r>
          </w:p>
        </w:tc>
        <w:tc>
          <w:tcPr>
            <w:tcW w:w="1675" w:type="dxa"/>
            <w:gridSpan w:val="3"/>
            <w:shd w:val="clear" w:color="auto" w:fill="F1F1F1" w:themeFill="background1" w:themeFillShade="F2"/>
            <w:noWrap/>
          </w:tcPr>
          <w:p>
            <w:pPr>
              <w:pStyle w:val="102"/>
              <w:jc w:val="center"/>
              <w:rPr>
                <w:rFonts w:cs="Times New Roman"/>
              </w:rPr>
            </w:pPr>
            <w:r>
              <w:rPr>
                <w:rFonts w:cs="Times New Roman"/>
              </w:rPr>
              <w:t>100</w:t>
            </w:r>
          </w:p>
        </w:tc>
        <w:tc>
          <w:tcPr>
            <w:tcW w:w="777" w:type="dxa"/>
            <w:shd w:val="clear" w:color="auto" w:fill="F1F1F1" w:themeFill="background1" w:themeFillShade="F2"/>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29" w:hRule="atLeast"/>
        </w:trPr>
        <w:tc>
          <w:tcPr>
            <w:tcW w:w="1103" w:type="dxa"/>
            <w:vMerge w:val="restart"/>
            <w:noWrap/>
          </w:tcPr>
          <w:p>
            <w:pPr>
              <w:pStyle w:val="102"/>
              <w:rPr>
                <w:rFonts w:cs="Times New Roman"/>
                <w:b/>
                <w:bCs w:val="0"/>
              </w:rPr>
            </w:pPr>
            <w:r>
              <w:rPr>
                <w:rFonts w:cs="Times New Roman"/>
                <w:b/>
                <w:bCs w:val="0"/>
              </w:rPr>
              <w:t>Buses</w:t>
            </w:r>
          </w:p>
        </w:tc>
        <w:tc>
          <w:tcPr>
            <w:tcW w:w="501" w:type="dxa"/>
            <w:noWrap/>
          </w:tcPr>
          <w:p>
            <w:pPr>
              <w:pStyle w:val="102"/>
              <w:jc w:val="center"/>
              <w:rPr>
                <w:rFonts w:cs="Times New Roman"/>
              </w:rPr>
            </w:pPr>
            <w:r>
              <w:rPr>
                <w:rFonts w:cs="Times New Roman"/>
              </w:rPr>
              <w:t>0</w:t>
            </w:r>
          </w:p>
        </w:tc>
        <w:tc>
          <w:tcPr>
            <w:tcW w:w="739" w:type="dxa"/>
            <w:noWrap/>
          </w:tcPr>
          <w:p>
            <w:pPr>
              <w:pStyle w:val="102"/>
              <w:jc w:val="center"/>
              <w:rPr>
                <w:rFonts w:cs="Times New Roman"/>
              </w:rPr>
            </w:pPr>
            <w:r>
              <w:rPr>
                <w:rFonts w:cs="Times New Roman"/>
              </w:rPr>
              <w:t>0</w:t>
            </w:r>
          </w:p>
        </w:tc>
        <w:tc>
          <w:tcPr>
            <w:tcW w:w="728" w:type="dxa"/>
            <w:noWrap/>
          </w:tcPr>
          <w:p>
            <w:pPr>
              <w:pStyle w:val="102"/>
              <w:jc w:val="center"/>
              <w:rPr>
                <w:rFonts w:cs="Times New Roman"/>
              </w:rPr>
            </w:pPr>
            <w:r>
              <w:rPr>
                <w:rFonts w:cs="Times New Roman"/>
              </w:rPr>
              <w:t>3</w:t>
            </w:r>
          </w:p>
        </w:tc>
        <w:tc>
          <w:tcPr>
            <w:tcW w:w="786" w:type="dxa"/>
            <w:noWrap/>
          </w:tcPr>
          <w:p>
            <w:pPr>
              <w:pStyle w:val="102"/>
              <w:jc w:val="center"/>
              <w:rPr>
                <w:rFonts w:cs="Times New Roman"/>
              </w:rPr>
            </w:pPr>
            <w:r>
              <w:rPr>
                <w:rFonts w:cs="Times New Roman"/>
              </w:rPr>
              <w:t>2</w:t>
            </w:r>
          </w:p>
        </w:tc>
        <w:tc>
          <w:tcPr>
            <w:tcW w:w="655" w:type="dxa"/>
            <w:noWrap/>
          </w:tcPr>
          <w:p>
            <w:pPr>
              <w:pStyle w:val="102"/>
              <w:jc w:val="center"/>
              <w:rPr>
                <w:rFonts w:cs="Times New Roman"/>
              </w:rPr>
            </w:pPr>
            <w:r>
              <w:rPr>
                <w:rFonts w:cs="Times New Roman"/>
              </w:rPr>
              <w:t>4</w:t>
            </w:r>
          </w:p>
        </w:tc>
        <w:tc>
          <w:tcPr>
            <w:tcW w:w="652" w:type="dxa"/>
            <w:noWrap/>
          </w:tcPr>
          <w:p>
            <w:pPr>
              <w:pStyle w:val="102"/>
              <w:jc w:val="center"/>
              <w:rPr>
                <w:rFonts w:cs="Times New Roman"/>
              </w:rPr>
            </w:pPr>
            <w:r>
              <w:rPr>
                <w:rFonts w:cs="Times New Roman"/>
              </w:rPr>
              <w:t>2</w:t>
            </w:r>
          </w:p>
        </w:tc>
        <w:tc>
          <w:tcPr>
            <w:tcW w:w="645" w:type="dxa"/>
            <w:noWrap/>
          </w:tcPr>
          <w:p>
            <w:pPr>
              <w:pStyle w:val="102"/>
              <w:jc w:val="center"/>
              <w:rPr>
                <w:rFonts w:cs="Times New Roman"/>
              </w:rPr>
            </w:pPr>
            <w:r>
              <w:rPr>
                <w:rFonts w:cs="Times New Roman"/>
              </w:rPr>
              <w:t>2</w:t>
            </w:r>
          </w:p>
        </w:tc>
        <w:tc>
          <w:tcPr>
            <w:tcW w:w="498" w:type="dxa"/>
            <w:noWrap/>
          </w:tcPr>
          <w:p>
            <w:pPr>
              <w:pStyle w:val="102"/>
              <w:jc w:val="center"/>
              <w:rPr>
                <w:rFonts w:cs="Times New Roman"/>
              </w:rPr>
            </w:pPr>
            <w:r>
              <w:rPr>
                <w:rFonts w:cs="Times New Roman"/>
              </w:rPr>
              <w:t>0</w:t>
            </w:r>
          </w:p>
        </w:tc>
        <w:tc>
          <w:tcPr>
            <w:tcW w:w="528" w:type="dxa"/>
            <w:noWrap/>
          </w:tcPr>
          <w:p>
            <w:pPr>
              <w:pStyle w:val="102"/>
              <w:jc w:val="center"/>
              <w:rPr>
                <w:rFonts w:cs="Times New Roman"/>
              </w:rPr>
            </w:pPr>
            <w:r>
              <w:rPr>
                <w:rFonts w:cs="Times New Roman"/>
              </w:rPr>
              <w:t>0</w:t>
            </w:r>
          </w:p>
        </w:tc>
        <w:tc>
          <w:tcPr>
            <w:tcW w:w="675" w:type="dxa"/>
            <w:noWrap/>
          </w:tcPr>
          <w:p>
            <w:pPr>
              <w:pStyle w:val="102"/>
              <w:jc w:val="center"/>
              <w:rPr>
                <w:rFonts w:cs="Times New Roman"/>
              </w:rPr>
            </w:pPr>
            <w:r>
              <w:rPr>
                <w:rFonts w:cs="Times New Roman"/>
              </w:rPr>
              <w:t>2</w:t>
            </w:r>
          </w:p>
        </w:tc>
        <w:tc>
          <w:tcPr>
            <w:tcW w:w="518" w:type="dxa"/>
            <w:noWrap/>
          </w:tcPr>
          <w:p>
            <w:pPr>
              <w:pStyle w:val="102"/>
              <w:jc w:val="center"/>
              <w:rPr>
                <w:rFonts w:cs="Times New Roman"/>
              </w:rPr>
            </w:pPr>
            <w:r>
              <w:rPr>
                <w:rFonts w:cs="Times New Roman"/>
              </w:rPr>
              <w:t>3</w:t>
            </w:r>
          </w:p>
        </w:tc>
        <w:tc>
          <w:tcPr>
            <w:tcW w:w="480" w:type="dxa"/>
            <w:noWrap/>
          </w:tcPr>
          <w:p>
            <w:pPr>
              <w:pStyle w:val="102"/>
              <w:jc w:val="center"/>
              <w:rPr>
                <w:rFonts w:cs="Times New Roman"/>
              </w:rPr>
            </w:pPr>
            <w:r>
              <w:rPr>
                <w:rFonts w:cs="Times New Roman"/>
              </w:rPr>
              <w:t>2</w:t>
            </w:r>
          </w:p>
        </w:tc>
        <w:tc>
          <w:tcPr>
            <w:tcW w:w="777" w:type="dxa"/>
            <w:noWrap/>
          </w:tcPr>
          <w:p>
            <w:pPr>
              <w:pStyle w:val="102"/>
              <w:jc w:val="center"/>
              <w:rPr>
                <w:rFonts w:cs="Times New Roman"/>
              </w:rPr>
            </w:pPr>
            <w:r>
              <w:rPr>
                <w:rFonts w:cs="Times New Roman"/>
              </w:rPr>
              <w:t>20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25" w:hRule="atLeast"/>
        </w:trPr>
        <w:tc>
          <w:tcPr>
            <w:tcW w:w="1103" w:type="dxa"/>
            <w:vMerge w:val="continue"/>
            <w:shd w:val="clear" w:color="auto" w:fill="F1F1F1" w:themeFill="background1" w:themeFillShade="F2"/>
          </w:tcPr>
          <w:p>
            <w:pPr>
              <w:jc w:val="left"/>
              <w:rPr>
                <w:rFonts w:cs="Times New Roman" w:eastAsiaTheme="minorHAnsi"/>
                <w:b/>
                <w:bCs/>
              </w:rPr>
            </w:pPr>
          </w:p>
        </w:tc>
        <w:tc>
          <w:tcPr>
            <w:tcW w:w="1969" w:type="dxa"/>
            <w:gridSpan w:val="3"/>
            <w:shd w:val="clear" w:color="auto" w:fill="F1F1F1" w:themeFill="background1" w:themeFillShade="F2"/>
            <w:noWrap/>
          </w:tcPr>
          <w:p>
            <w:pPr>
              <w:pStyle w:val="102"/>
              <w:jc w:val="center"/>
              <w:rPr>
                <w:rFonts w:cs="Times New Roman"/>
              </w:rPr>
            </w:pPr>
            <w:r>
              <w:rPr>
                <w:rFonts w:cs="Times New Roman"/>
              </w:rPr>
              <w:t>3</w:t>
            </w:r>
          </w:p>
        </w:tc>
        <w:tc>
          <w:tcPr>
            <w:tcW w:w="2094" w:type="dxa"/>
            <w:gridSpan w:val="3"/>
            <w:shd w:val="clear" w:color="auto" w:fill="F1F1F1" w:themeFill="background1" w:themeFillShade="F2"/>
            <w:noWrap/>
          </w:tcPr>
          <w:p>
            <w:pPr>
              <w:pStyle w:val="102"/>
              <w:jc w:val="center"/>
              <w:rPr>
                <w:rFonts w:cs="Times New Roman"/>
              </w:rPr>
            </w:pPr>
            <w:r>
              <w:rPr>
                <w:rFonts w:cs="Times New Roman"/>
              </w:rPr>
              <w:t>8</w:t>
            </w:r>
          </w:p>
        </w:tc>
        <w:tc>
          <w:tcPr>
            <w:tcW w:w="1672" w:type="dxa"/>
            <w:gridSpan w:val="3"/>
            <w:shd w:val="clear" w:color="auto" w:fill="F1F1F1" w:themeFill="background1" w:themeFillShade="F2"/>
            <w:noWrap/>
          </w:tcPr>
          <w:p>
            <w:pPr>
              <w:pStyle w:val="102"/>
              <w:jc w:val="center"/>
              <w:rPr>
                <w:rFonts w:cs="Times New Roman"/>
              </w:rPr>
            </w:pPr>
            <w:r>
              <w:rPr>
                <w:rFonts w:cs="Times New Roman"/>
              </w:rPr>
              <w:t>2</w:t>
            </w:r>
          </w:p>
        </w:tc>
        <w:tc>
          <w:tcPr>
            <w:tcW w:w="1675" w:type="dxa"/>
            <w:gridSpan w:val="3"/>
            <w:shd w:val="clear" w:color="auto" w:fill="F1F1F1" w:themeFill="background1" w:themeFillShade="F2"/>
            <w:noWrap/>
          </w:tcPr>
          <w:p>
            <w:pPr>
              <w:pStyle w:val="102"/>
              <w:jc w:val="center"/>
              <w:rPr>
                <w:rFonts w:cs="Times New Roman"/>
              </w:rPr>
            </w:pPr>
            <w:r>
              <w:rPr>
                <w:rFonts w:cs="Times New Roman"/>
              </w:rPr>
              <w:t>7</w:t>
            </w:r>
          </w:p>
        </w:tc>
        <w:tc>
          <w:tcPr>
            <w:tcW w:w="777" w:type="dxa"/>
            <w:shd w:val="clear" w:color="auto" w:fill="F1F1F1" w:themeFill="background1" w:themeFillShade="F2"/>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58" w:hRule="atLeast"/>
        </w:trPr>
        <w:tc>
          <w:tcPr>
            <w:tcW w:w="1103" w:type="dxa"/>
            <w:vMerge w:val="restart"/>
            <w:noWrap/>
          </w:tcPr>
          <w:p>
            <w:pPr>
              <w:pStyle w:val="102"/>
              <w:rPr>
                <w:rFonts w:cs="Times New Roman"/>
                <w:b/>
                <w:bCs w:val="0"/>
              </w:rPr>
            </w:pPr>
            <w:r>
              <w:rPr>
                <w:rFonts w:cs="Times New Roman"/>
                <w:b/>
                <w:bCs w:val="0"/>
              </w:rPr>
              <w:t>Total</w:t>
            </w:r>
          </w:p>
        </w:tc>
        <w:tc>
          <w:tcPr>
            <w:tcW w:w="501" w:type="dxa"/>
            <w:noWrap/>
          </w:tcPr>
          <w:p>
            <w:pPr>
              <w:pStyle w:val="102"/>
              <w:jc w:val="center"/>
              <w:rPr>
                <w:rFonts w:cs="Times New Roman"/>
              </w:rPr>
            </w:pPr>
            <w:r>
              <w:rPr>
                <w:rFonts w:cs="Times New Roman"/>
              </w:rPr>
              <w:t>47</w:t>
            </w:r>
          </w:p>
        </w:tc>
        <w:tc>
          <w:tcPr>
            <w:tcW w:w="739" w:type="dxa"/>
            <w:noWrap/>
          </w:tcPr>
          <w:p>
            <w:pPr>
              <w:pStyle w:val="102"/>
              <w:jc w:val="center"/>
              <w:rPr>
                <w:rFonts w:cs="Times New Roman"/>
              </w:rPr>
            </w:pPr>
            <w:r>
              <w:rPr>
                <w:rFonts w:cs="Times New Roman"/>
              </w:rPr>
              <w:t>335</w:t>
            </w:r>
          </w:p>
        </w:tc>
        <w:tc>
          <w:tcPr>
            <w:tcW w:w="728" w:type="dxa"/>
            <w:noWrap/>
          </w:tcPr>
          <w:p>
            <w:pPr>
              <w:pStyle w:val="102"/>
              <w:jc w:val="center"/>
              <w:rPr>
                <w:rFonts w:cs="Times New Roman"/>
              </w:rPr>
            </w:pPr>
            <w:r>
              <w:rPr>
                <w:rFonts w:cs="Times New Roman"/>
              </w:rPr>
              <w:t>101</w:t>
            </w:r>
          </w:p>
        </w:tc>
        <w:tc>
          <w:tcPr>
            <w:tcW w:w="786" w:type="dxa"/>
            <w:noWrap/>
          </w:tcPr>
          <w:p>
            <w:pPr>
              <w:pStyle w:val="102"/>
              <w:jc w:val="center"/>
              <w:rPr>
                <w:rFonts w:cs="Times New Roman"/>
              </w:rPr>
            </w:pPr>
            <w:r>
              <w:rPr>
                <w:rFonts w:cs="Times New Roman"/>
              </w:rPr>
              <w:t>180</w:t>
            </w:r>
          </w:p>
        </w:tc>
        <w:tc>
          <w:tcPr>
            <w:tcW w:w="655" w:type="dxa"/>
            <w:noWrap/>
          </w:tcPr>
          <w:p>
            <w:pPr>
              <w:pStyle w:val="102"/>
              <w:jc w:val="center"/>
              <w:rPr>
                <w:rFonts w:cs="Times New Roman"/>
              </w:rPr>
            </w:pPr>
            <w:r>
              <w:rPr>
                <w:rFonts w:cs="Times New Roman"/>
              </w:rPr>
              <w:t>503</w:t>
            </w:r>
          </w:p>
        </w:tc>
        <w:tc>
          <w:tcPr>
            <w:tcW w:w="652" w:type="dxa"/>
            <w:noWrap/>
          </w:tcPr>
          <w:p>
            <w:pPr>
              <w:pStyle w:val="102"/>
              <w:jc w:val="center"/>
              <w:rPr>
                <w:rFonts w:cs="Times New Roman"/>
              </w:rPr>
            </w:pPr>
            <w:r>
              <w:rPr>
                <w:rFonts w:cs="Times New Roman"/>
              </w:rPr>
              <w:t>113</w:t>
            </w:r>
          </w:p>
        </w:tc>
        <w:tc>
          <w:tcPr>
            <w:tcW w:w="645" w:type="dxa"/>
            <w:noWrap/>
          </w:tcPr>
          <w:p>
            <w:pPr>
              <w:pStyle w:val="102"/>
              <w:jc w:val="center"/>
              <w:rPr>
                <w:rFonts w:cs="Times New Roman"/>
              </w:rPr>
            </w:pPr>
            <w:r>
              <w:rPr>
                <w:rFonts w:cs="Times New Roman"/>
              </w:rPr>
              <w:t>108</w:t>
            </w:r>
          </w:p>
        </w:tc>
        <w:tc>
          <w:tcPr>
            <w:tcW w:w="498" w:type="dxa"/>
            <w:noWrap/>
          </w:tcPr>
          <w:p>
            <w:pPr>
              <w:pStyle w:val="102"/>
              <w:jc w:val="center"/>
              <w:rPr>
                <w:rFonts w:cs="Times New Roman"/>
              </w:rPr>
            </w:pPr>
            <w:r>
              <w:rPr>
                <w:rFonts w:cs="Times New Roman"/>
              </w:rPr>
              <w:t>68</w:t>
            </w:r>
          </w:p>
        </w:tc>
        <w:tc>
          <w:tcPr>
            <w:tcW w:w="528" w:type="dxa"/>
            <w:noWrap/>
          </w:tcPr>
          <w:p>
            <w:pPr>
              <w:pStyle w:val="102"/>
              <w:jc w:val="center"/>
              <w:rPr>
                <w:rFonts w:cs="Times New Roman"/>
              </w:rPr>
            </w:pPr>
            <w:r>
              <w:rPr>
                <w:rFonts w:cs="Times New Roman"/>
              </w:rPr>
              <w:t>69</w:t>
            </w:r>
          </w:p>
        </w:tc>
        <w:tc>
          <w:tcPr>
            <w:tcW w:w="675" w:type="dxa"/>
            <w:noWrap/>
          </w:tcPr>
          <w:p>
            <w:pPr>
              <w:pStyle w:val="102"/>
              <w:jc w:val="center"/>
              <w:rPr>
                <w:rFonts w:cs="Times New Roman"/>
              </w:rPr>
            </w:pPr>
            <w:r>
              <w:rPr>
                <w:rFonts w:cs="Times New Roman"/>
              </w:rPr>
              <w:t>124</w:t>
            </w:r>
          </w:p>
        </w:tc>
        <w:tc>
          <w:tcPr>
            <w:tcW w:w="518" w:type="dxa"/>
            <w:noWrap/>
          </w:tcPr>
          <w:p>
            <w:pPr>
              <w:pStyle w:val="102"/>
              <w:jc w:val="center"/>
              <w:rPr>
                <w:rFonts w:cs="Times New Roman"/>
              </w:rPr>
            </w:pPr>
            <w:r>
              <w:rPr>
                <w:rFonts w:cs="Times New Roman"/>
              </w:rPr>
              <w:t>243</w:t>
            </w:r>
          </w:p>
        </w:tc>
        <w:tc>
          <w:tcPr>
            <w:tcW w:w="480" w:type="dxa"/>
            <w:noWrap/>
          </w:tcPr>
          <w:p>
            <w:pPr>
              <w:pStyle w:val="102"/>
              <w:jc w:val="center"/>
              <w:rPr>
                <w:rFonts w:cs="Times New Roman"/>
              </w:rPr>
            </w:pPr>
            <w:r>
              <w:rPr>
                <w:rFonts w:cs="Times New Roman"/>
              </w:rPr>
              <w:t>138</w:t>
            </w:r>
          </w:p>
        </w:tc>
        <w:tc>
          <w:tcPr>
            <w:tcW w:w="777" w:type="dxa"/>
            <w:noWrap/>
          </w:tcPr>
          <w:p>
            <w:pPr>
              <w:pStyle w:val="102"/>
              <w:jc w:val="center"/>
              <w:rPr>
                <w:rFonts w:cs="Times New Roman"/>
              </w:rPr>
            </w:pPr>
            <w:r>
              <w:rPr>
                <w:rFonts w:cs="Times New Roman"/>
              </w:rPr>
              <w:t>2029</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trPr>
        <w:tc>
          <w:tcPr>
            <w:tcW w:w="1103" w:type="dxa"/>
            <w:vMerge w:val="continue"/>
            <w:shd w:val="clear" w:color="auto" w:fill="F1F1F1" w:themeFill="background1" w:themeFillShade="F2"/>
          </w:tcPr>
          <w:p>
            <w:pPr>
              <w:jc w:val="left"/>
              <w:rPr>
                <w:rFonts w:cs="Times New Roman" w:eastAsiaTheme="minorHAnsi"/>
                <w:b/>
                <w:bCs/>
              </w:rPr>
            </w:pPr>
          </w:p>
        </w:tc>
        <w:tc>
          <w:tcPr>
            <w:tcW w:w="1969" w:type="dxa"/>
            <w:gridSpan w:val="3"/>
            <w:shd w:val="clear" w:color="auto" w:fill="F1F1F1" w:themeFill="background1" w:themeFillShade="F2"/>
            <w:noWrap/>
          </w:tcPr>
          <w:p>
            <w:pPr>
              <w:pStyle w:val="102"/>
              <w:jc w:val="center"/>
              <w:rPr>
                <w:rFonts w:cs="Times New Roman"/>
              </w:rPr>
            </w:pPr>
            <w:r>
              <w:rPr>
                <w:rFonts w:cs="Times New Roman"/>
              </w:rPr>
              <w:t>483</w:t>
            </w:r>
          </w:p>
        </w:tc>
        <w:tc>
          <w:tcPr>
            <w:tcW w:w="2094" w:type="dxa"/>
            <w:gridSpan w:val="3"/>
            <w:shd w:val="clear" w:color="auto" w:fill="F1F1F1" w:themeFill="background1" w:themeFillShade="F2"/>
            <w:noWrap/>
          </w:tcPr>
          <w:p>
            <w:pPr>
              <w:pStyle w:val="102"/>
              <w:jc w:val="center"/>
              <w:rPr>
                <w:rFonts w:cs="Times New Roman"/>
              </w:rPr>
            </w:pPr>
            <w:r>
              <w:rPr>
                <w:rFonts w:cs="Times New Roman"/>
              </w:rPr>
              <w:t>796</w:t>
            </w:r>
          </w:p>
        </w:tc>
        <w:tc>
          <w:tcPr>
            <w:tcW w:w="1672" w:type="dxa"/>
            <w:gridSpan w:val="3"/>
            <w:shd w:val="clear" w:color="auto" w:fill="F1F1F1" w:themeFill="background1" w:themeFillShade="F2"/>
            <w:noWrap/>
          </w:tcPr>
          <w:p>
            <w:pPr>
              <w:pStyle w:val="102"/>
              <w:jc w:val="center"/>
              <w:rPr>
                <w:rFonts w:cs="Times New Roman"/>
              </w:rPr>
            </w:pPr>
            <w:r>
              <w:rPr>
                <w:rFonts w:cs="Times New Roman"/>
              </w:rPr>
              <w:t>245</w:t>
            </w:r>
          </w:p>
        </w:tc>
        <w:tc>
          <w:tcPr>
            <w:tcW w:w="1675" w:type="dxa"/>
            <w:gridSpan w:val="3"/>
            <w:shd w:val="clear" w:color="auto" w:fill="F1F1F1" w:themeFill="background1" w:themeFillShade="F2"/>
            <w:noWrap/>
          </w:tcPr>
          <w:p>
            <w:pPr>
              <w:pStyle w:val="102"/>
              <w:jc w:val="center"/>
              <w:rPr>
                <w:rFonts w:cs="Times New Roman"/>
              </w:rPr>
            </w:pPr>
            <w:r>
              <w:rPr>
                <w:rFonts w:cs="Times New Roman"/>
              </w:rPr>
              <w:t>505</w:t>
            </w:r>
          </w:p>
        </w:tc>
        <w:tc>
          <w:tcPr>
            <w:tcW w:w="777" w:type="dxa"/>
            <w:shd w:val="clear" w:color="auto" w:fill="F1F1F1" w:themeFill="background1" w:themeFillShade="F2"/>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0" w:hRule="atLeast"/>
        </w:trPr>
        <w:tc>
          <w:tcPr>
            <w:tcW w:w="1103" w:type="dxa"/>
            <w:noWrap/>
          </w:tcPr>
          <w:p>
            <w:pPr>
              <w:pStyle w:val="102"/>
              <w:rPr>
                <w:rFonts w:cs="Times New Roman"/>
                <w:b/>
                <w:bCs w:val="0"/>
              </w:rPr>
            </w:pPr>
            <w:r>
              <w:rPr>
                <w:rFonts w:cs="Times New Roman"/>
                <w:b/>
                <w:bCs w:val="0"/>
              </w:rPr>
              <w:t>%HV</w:t>
            </w:r>
          </w:p>
        </w:tc>
        <w:tc>
          <w:tcPr>
            <w:tcW w:w="501" w:type="dxa"/>
            <w:noWrap/>
          </w:tcPr>
          <w:p>
            <w:pPr>
              <w:pStyle w:val="102"/>
              <w:jc w:val="center"/>
              <w:rPr>
                <w:rFonts w:cs="Times New Roman"/>
              </w:rPr>
            </w:pPr>
            <w:r>
              <w:rPr>
                <w:rFonts w:cs="Times New Roman"/>
              </w:rPr>
              <w:t>9%</w:t>
            </w:r>
          </w:p>
        </w:tc>
        <w:tc>
          <w:tcPr>
            <w:tcW w:w="739" w:type="dxa"/>
            <w:noWrap/>
          </w:tcPr>
          <w:p>
            <w:pPr>
              <w:pStyle w:val="102"/>
              <w:jc w:val="center"/>
              <w:rPr>
                <w:rFonts w:cs="Times New Roman"/>
              </w:rPr>
            </w:pPr>
            <w:r>
              <w:rPr>
                <w:rFonts w:cs="Times New Roman"/>
              </w:rPr>
              <w:t>4%</w:t>
            </w:r>
          </w:p>
        </w:tc>
        <w:tc>
          <w:tcPr>
            <w:tcW w:w="728" w:type="dxa"/>
            <w:noWrap/>
          </w:tcPr>
          <w:p>
            <w:pPr>
              <w:pStyle w:val="102"/>
              <w:jc w:val="center"/>
              <w:rPr>
                <w:rFonts w:cs="Times New Roman"/>
              </w:rPr>
            </w:pPr>
            <w:r>
              <w:rPr>
                <w:rFonts w:cs="Times New Roman"/>
              </w:rPr>
              <w:t>22%</w:t>
            </w:r>
          </w:p>
        </w:tc>
        <w:tc>
          <w:tcPr>
            <w:tcW w:w="786" w:type="dxa"/>
            <w:noWrap/>
          </w:tcPr>
          <w:p>
            <w:pPr>
              <w:pStyle w:val="102"/>
              <w:jc w:val="center"/>
              <w:rPr>
                <w:rFonts w:cs="Times New Roman"/>
              </w:rPr>
            </w:pPr>
            <w:r>
              <w:rPr>
                <w:rFonts w:cs="Times New Roman"/>
              </w:rPr>
              <w:t>19%</w:t>
            </w:r>
          </w:p>
        </w:tc>
        <w:tc>
          <w:tcPr>
            <w:tcW w:w="655" w:type="dxa"/>
            <w:noWrap/>
          </w:tcPr>
          <w:p>
            <w:pPr>
              <w:pStyle w:val="102"/>
              <w:jc w:val="center"/>
              <w:rPr>
                <w:rFonts w:cs="Times New Roman"/>
              </w:rPr>
            </w:pPr>
            <w:r>
              <w:rPr>
                <w:rFonts w:cs="Times New Roman"/>
              </w:rPr>
              <w:t>7%</w:t>
            </w:r>
          </w:p>
        </w:tc>
        <w:tc>
          <w:tcPr>
            <w:tcW w:w="652" w:type="dxa"/>
            <w:noWrap/>
          </w:tcPr>
          <w:p>
            <w:pPr>
              <w:pStyle w:val="102"/>
              <w:jc w:val="center"/>
              <w:rPr>
                <w:rFonts w:cs="Times New Roman"/>
              </w:rPr>
            </w:pPr>
            <w:r>
              <w:rPr>
                <w:rFonts w:cs="Times New Roman"/>
              </w:rPr>
              <w:t>11%</w:t>
            </w:r>
          </w:p>
        </w:tc>
        <w:tc>
          <w:tcPr>
            <w:tcW w:w="645" w:type="dxa"/>
            <w:noWrap/>
          </w:tcPr>
          <w:p>
            <w:pPr>
              <w:pStyle w:val="102"/>
              <w:jc w:val="center"/>
              <w:rPr>
                <w:rFonts w:cs="Times New Roman"/>
              </w:rPr>
            </w:pPr>
            <w:r>
              <w:rPr>
                <w:rFonts w:cs="Times New Roman"/>
              </w:rPr>
              <w:t>36%</w:t>
            </w:r>
          </w:p>
        </w:tc>
        <w:tc>
          <w:tcPr>
            <w:tcW w:w="498" w:type="dxa"/>
            <w:noWrap/>
          </w:tcPr>
          <w:p>
            <w:pPr>
              <w:pStyle w:val="102"/>
              <w:jc w:val="center"/>
              <w:rPr>
                <w:rFonts w:cs="Times New Roman"/>
              </w:rPr>
            </w:pPr>
            <w:r>
              <w:rPr>
                <w:rFonts w:cs="Times New Roman"/>
              </w:rPr>
              <w:t>19%</w:t>
            </w:r>
          </w:p>
        </w:tc>
        <w:tc>
          <w:tcPr>
            <w:tcW w:w="528" w:type="dxa"/>
            <w:noWrap/>
          </w:tcPr>
          <w:p>
            <w:pPr>
              <w:pStyle w:val="102"/>
              <w:jc w:val="center"/>
              <w:rPr>
                <w:rFonts w:cs="Times New Roman"/>
              </w:rPr>
            </w:pPr>
            <w:r>
              <w:rPr>
                <w:rFonts w:cs="Times New Roman"/>
              </w:rPr>
              <w:t>41%</w:t>
            </w:r>
          </w:p>
        </w:tc>
        <w:tc>
          <w:tcPr>
            <w:tcW w:w="675" w:type="dxa"/>
            <w:noWrap/>
          </w:tcPr>
          <w:p>
            <w:pPr>
              <w:pStyle w:val="102"/>
              <w:jc w:val="center"/>
              <w:rPr>
                <w:rFonts w:cs="Times New Roman"/>
              </w:rPr>
            </w:pPr>
            <w:r>
              <w:rPr>
                <w:rFonts w:cs="Times New Roman"/>
              </w:rPr>
              <w:t>24%</w:t>
            </w:r>
          </w:p>
        </w:tc>
        <w:tc>
          <w:tcPr>
            <w:tcW w:w="518" w:type="dxa"/>
            <w:noWrap/>
          </w:tcPr>
          <w:p>
            <w:pPr>
              <w:pStyle w:val="102"/>
              <w:jc w:val="center"/>
              <w:rPr>
                <w:rFonts w:cs="Times New Roman"/>
              </w:rPr>
            </w:pPr>
            <w:r>
              <w:rPr>
                <w:rFonts w:cs="Times New Roman"/>
              </w:rPr>
              <w:t>21%</w:t>
            </w:r>
          </w:p>
        </w:tc>
        <w:tc>
          <w:tcPr>
            <w:tcW w:w="480" w:type="dxa"/>
            <w:noWrap/>
          </w:tcPr>
          <w:p>
            <w:pPr>
              <w:pStyle w:val="102"/>
              <w:jc w:val="center"/>
              <w:rPr>
                <w:rFonts w:cs="Times New Roman"/>
              </w:rPr>
            </w:pPr>
            <w:r>
              <w:rPr>
                <w:rFonts w:cs="Times New Roman"/>
              </w:rPr>
              <w:t>18%</w:t>
            </w:r>
          </w:p>
        </w:tc>
        <w:tc>
          <w:tcPr>
            <w:tcW w:w="777" w:type="dxa"/>
            <w:noWrap/>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6" w:hRule="atLeast"/>
        </w:trPr>
        <w:tc>
          <w:tcPr>
            <w:tcW w:w="1103" w:type="dxa"/>
            <w:shd w:val="clear" w:color="auto" w:fill="F1F1F1" w:themeFill="background1" w:themeFillShade="F2"/>
            <w:noWrap/>
          </w:tcPr>
          <w:p>
            <w:pPr>
              <w:pStyle w:val="102"/>
              <w:rPr>
                <w:rFonts w:cs="Times New Roman"/>
                <w:b/>
                <w:bCs w:val="0"/>
              </w:rPr>
            </w:pPr>
            <w:r>
              <w:rPr>
                <w:rFonts w:cs="Times New Roman"/>
                <w:b/>
                <w:bCs w:val="0"/>
              </w:rPr>
              <w:t>PHF</w:t>
            </w:r>
          </w:p>
        </w:tc>
        <w:tc>
          <w:tcPr>
            <w:tcW w:w="501" w:type="dxa"/>
            <w:shd w:val="clear" w:color="auto" w:fill="F1F1F1" w:themeFill="background1" w:themeFillShade="F2"/>
            <w:noWrap/>
          </w:tcPr>
          <w:p>
            <w:pPr>
              <w:pStyle w:val="102"/>
              <w:jc w:val="center"/>
              <w:rPr>
                <w:rFonts w:cs="Times New Roman"/>
              </w:rPr>
            </w:pPr>
            <w:r>
              <w:rPr>
                <w:rFonts w:cs="Times New Roman"/>
              </w:rPr>
              <w:t>0.92</w:t>
            </w:r>
          </w:p>
        </w:tc>
        <w:tc>
          <w:tcPr>
            <w:tcW w:w="739" w:type="dxa"/>
            <w:shd w:val="clear" w:color="auto" w:fill="F1F1F1" w:themeFill="background1" w:themeFillShade="F2"/>
            <w:noWrap/>
          </w:tcPr>
          <w:p>
            <w:pPr>
              <w:pStyle w:val="102"/>
              <w:jc w:val="center"/>
              <w:rPr>
                <w:rFonts w:cs="Times New Roman"/>
              </w:rPr>
            </w:pPr>
            <w:r>
              <w:rPr>
                <w:rFonts w:cs="Times New Roman"/>
              </w:rPr>
              <w:t>0.92</w:t>
            </w:r>
          </w:p>
        </w:tc>
        <w:tc>
          <w:tcPr>
            <w:tcW w:w="728" w:type="dxa"/>
            <w:shd w:val="clear" w:color="auto" w:fill="F1F1F1" w:themeFill="background1" w:themeFillShade="F2"/>
            <w:noWrap/>
          </w:tcPr>
          <w:p>
            <w:pPr>
              <w:pStyle w:val="102"/>
              <w:jc w:val="center"/>
              <w:rPr>
                <w:rFonts w:cs="Times New Roman"/>
              </w:rPr>
            </w:pPr>
            <w:r>
              <w:rPr>
                <w:rFonts w:cs="Times New Roman"/>
              </w:rPr>
              <w:t>0.92</w:t>
            </w:r>
          </w:p>
        </w:tc>
        <w:tc>
          <w:tcPr>
            <w:tcW w:w="786" w:type="dxa"/>
            <w:shd w:val="clear" w:color="auto" w:fill="F1F1F1" w:themeFill="background1" w:themeFillShade="F2"/>
            <w:noWrap/>
          </w:tcPr>
          <w:p>
            <w:pPr>
              <w:pStyle w:val="102"/>
              <w:jc w:val="center"/>
              <w:rPr>
                <w:rFonts w:cs="Times New Roman"/>
              </w:rPr>
            </w:pPr>
            <w:r>
              <w:rPr>
                <w:rFonts w:cs="Times New Roman"/>
              </w:rPr>
              <w:t>0.92</w:t>
            </w:r>
          </w:p>
        </w:tc>
        <w:tc>
          <w:tcPr>
            <w:tcW w:w="655" w:type="dxa"/>
            <w:shd w:val="clear" w:color="auto" w:fill="F1F1F1" w:themeFill="background1" w:themeFillShade="F2"/>
            <w:noWrap/>
          </w:tcPr>
          <w:p>
            <w:pPr>
              <w:pStyle w:val="102"/>
              <w:jc w:val="center"/>
              <w:rPr>
                <w:rFonts w:cs="Times New Roman"/>
              </w:rPr>
            </w:pPr>
            <w:r>
              <w:rPr>
                <w:rFonts w:cs="Times New Roman"/>
              </w:rPr>
              <w:t>0.92</w:t>
            </w:r>
          </w:p>
        </w:tc>
        <w:tc>
          <w:tcPr>
            <w:tcW w:w="652" w:type="dxa"/>
            <w:shd w:val="clear" w:color="auto" w:fill="F1F1F1" w:themeFill="background1" w:themeFillShade="F2"/>
            <w:noWrap/>
          </w:tcPr>
          <w:p>
            <w:pPr>
              <w:pStyle w:val="102"/>
              <w:jc w:val="center"/>
              <w:rPr>
                <w:rFonts w:cs="Times New Roman"/>
              </w:rPr>
            </w:pPr>
            <w:r>
              <w:rPr>
                <w:rFonts w:cs="Times New Roman"/>
              </w:rPr>
              <w:t>0.92</w:t>
            </w:r>
          </w:p>
        </w:tc>
        <w:tc>
          <w:tcPr>
            <w:tcW w:w="645" w:type="dxa"/>
            <w:shd w:val="clear" w:color="auto" w:fill="F1F1F1" w:themeFill="background1" w:themeFillShade="F2"/>
            <w:noWrap/>
          </w:tcPr>
          <w:p>
            <w:pPr>
              <w:pStyle w:val="102"/>
              <w:jc w:val="center"/>
              <w:rPr>
                <w:rFonts w:cs="Times New Roman"/>
              </w:rPr>
            </w:pPr>
            <w:r>
              <w:rPr>
                <w:rFonts w:cs="Times New Roman"/>
              </w:rPr>
              <w:t>0.92</w:t>
            </w:r>
          </w:p>
        </w:tc>
        <w:tc>
          <w:tcPr>
            <w:tcW w:w="498" w:type="dxa"/>
            <w:shd w:val="clear" w:color="auto" w:fill="F1F1F1" w:themeFill="background1" w:themeFillShade="F2"/>
            <w:noWrap/>
          </w:tcPr>
          <w:p>
            <w:pPr>
              <w:pStyle w:val="102"/>
              <w:jc w:val="center"/>
              <w:rPr>
                <w:rFonts w:cs="Times New Roman"/>
              </w:rPr>
            </w:pPr>
            <w:r>
              <w:rPr>
                <w:rFonts w:cs="Times New Roman"/>
              </w:rPr>
              <w:t>0.92</w:t>
            </w:r>
          </w:p>
        </w:tc>
        <w:tc>
          <w:tcPr>
            <w:tcW w:w="528" w:type="dxa"/>
            <w:shd w:val="clear" w:color="auto" w:fill="F1F1F1" w:themeFill="background1" w:themeFillShade="F2"/>
            <w:noWrap/>
          </w:tcPr>
          <w:p>
            <w:pPr>
              <w:pStyle w:val="102"/>
              <w:jc w:val="center"/>
              <w:rPr>
                <w:rFonts w:cs="Times New Roman"/>
              </w:rPr>
            </w:pPr>
            <w:r>
              <w:rPr>
                <w:rFonts w:cs="Times New Roman"/>
              </w:rPr>
              <w:t>0.92</w:t>
            </w:r>
          </w:p>
        </w:tc>
        <w:tc>
          <w:tcPr>
            <w:tcW w:w="675" w:type="dxa"/>
            <w:shd w:val="clear" w:color="auto" w:fill="F1F1F1" w:themeFill="background1" w:themeFillShade="F2"/>
            <w:noWrap/>
          </w:tcPr>
          <w:p>
            <w:pPr>
              <w:pStyle w:val="102"/>
              <w:jc w:val="center"/>
              <w:rPr>
                <w:rFonts w:cs="Times New Roman"/>
              </w:rPr>
            </w:pPr>
            <w:r>
              <w:rPr>
                <w:rFonts w:cs="Times New Roman"/>
              </w:rPr>
              <w:t>0.92</w:t>
            </w:r>
          </w:p>
        </w:tc>
        <w:tc>
          <w:tcPr>
            <w:tcW w:w="518" w:type="dxa"/>
            <w:shd w:val="clear" w:color="auto" w:fill="F1F1F1" w:themeFill="background1" w:themeFillShade="F2"/>
            <w:noWrap/>
          </w:tcPr>
          <w:p>
            <w:pPr>
              <w:pStyle w:val="102"/>
              <w:jc w:val="center"/>
              <w:rPr>
                <w:rFonts w:cs="Times New Roman"/>
              </w:rPr>
            </w:pPr>
            <w:r>
              <w:rPr>
                <w:rFonts w:cs="Times New Roman"/>
              </w:rPr>
              <w:t>0.92</w:t>
            </w:r>
          </w:p>
        </w:tc>
        <w:tc>
          <w:tcPr>
            <w:tcW w:w="480" w:type="dxa"/>
            <w:shd w:val="clear" w:color="auto" w:fill="F1F1F1" w:themeFill="background1" w:themeFillShade="F2"/>
            <w:noWrap/>
          </w:tcPr>
          <w:p>
            <w:pPr>
              <w:pStyle w:val="102"/>
              <w:jc w:val="center"/>
              <w:rPr>
                <w:rFonts w:cs="Times New Roman"/>
              </w:rPr>
            </w:pPr>
            <w:r>
              <w:rPr>
                <w:rFonts w:cs="Times New Roman"/>
              </w:rPr>
              <w:t>0.92</w:t>
            </w:r>
          </w:p>
        </w:tc>
        <w:tc>
          <w:tcPr>
            <w:tcW w:w="777" w:type="dxa"/>
            <w:shd w:val="clear" w:color="auto" w:fill="F1F1F1" w:themeFill="background1" w:themeFillShade="F2"/>
            <w:noWrap/>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226" w:hRule="atLeast"/>
        </w:trPr>
        <w:tc>
          <w:tcPr>
            <w:tcW w:w="9293" w:type="dxa"/>
            <w:gridSpan w:val="14"/>
            <w:noWrap/>
          </w:tcPr>
          <w:tbl>
            <w:tblPr>
              <w:tblStyle w:val="111"/>
              <w:tblpPr w:leftFromText="180" w:rightFromText="180" w:vertAnchor="text" w:horzAnchor="margin" w:tblpX="-95" w:tblpY="-248"/>
              <w:tblOverlap w:val="never"/>
              <w:tblW w:w="9127"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982"/>
              <w:gridCol w:w="612"/>
              <w:gridCol w:w="647"/>
              <w:gridCol w:w="647"/>
              <w:gridCol w:w="704"/>
              <w:gridCol w:w="683"/>
              <w:gridCol w:w="694"/>
              <w:gridCol w:w="636"/>
              <w:gridCol w:w="636"/>
              <w:gridCol w:w="648"/>
              <w:gridCol w:w="602"/>
              <w:gridCol w:w="602"/>
              <w:gridCol w:w="613"/>
              <w:gridCol w:w="644"/>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36" w:hRule="atLeast"/>
              </w:trPr>
              <w:tc>
                <w:tcPr>
                  <w:tcW w:w="1093" w:type="dxa"/>
                  <w:noWrap/>
                </w:tcPr>
                <w:p>
                  <w:pPr>
                    <w:jc w:val="left"/>
                    <w:rPr>
                      <w:rFonts w:eastAsia="Times New Roman" w:cs="Times New Roman"/>
                      <w:b/>
                      <w:bCs/>
                      <w:color w:val="000000"/>
                    </w:rPr>
                  </w:pPr>
                </w:p>
              </w:tc>
              <w:tc>
                <w:tcPr>
                  <w:tcW w:w="516" w:type="dxa"/>
                  <w:noWrap/>
                </w:tcPr>
                <w:p>
                  <w:pPr>
                    <w:jc w:val="center"/>
                    <w:rPr>
                      <w:rFonts w:eastAsia="Times New Roman" w:cs="Times New Roman"/>
                      <w:b/>
                      <w:bCs/>
                      <w:color w:val="000000"/>
                    </w:rPr>
                  </w:pPr>
                </w:p>
              </w:tc>
              <w:tc>
                <w:tcPr>
                  <w:tcW w:w="709" w:type="dxa"/>
                  <w:noWrap/>
                </w:tcPr>
                <w:p>
                  <w:pPr>
                    <w:jc w:val="center"/>
                    <w:rPr>
                      <w:rFonts w:eastAsia="Times New Roman" w:cs="Times New Roman"/>
                      <w:b/>
                      <w:bCs/>
                      <w:color w:val="000000"/>
                    </w:rPr>
                  </w:pPr>
                </w:p>
              </w:tc>
              <w:tc>
                <w:tcPr>
                  <w:tcW w:w="709" w:type="dxa"/>
                  <w:noWrap/>
                </w:tcPr>
                <w:p>
                  <w:pPr>
                    <w:jc w:val="center"/>
                    <w:rPr>
                      <w:rFonts w:eastAsia="Times New Roman" w:cs="Times New Roman"/>
                      <w:b/>
                      <w:bCs/>
                      <w:color w:val="000000"/>
                    </w:rPr>
                  </w:pPr>
                </w:p>
              </w:tc>
              <w:tc>
                <w:tcPr>
                  <w:tcW w:w="3247" w:type="dxa"/>
                  <w:gridSpan w:val="5"/>
                  <w:noWrap/>
                </w:tcPr>
                <w:p>
                  <w:pPr>
                    <w:pStyle w:val="17"/>
                    <w:jc w:val="center"/>
                    <w:rPr>
                      <w:rFonts w:cs="Times New Roman" w:eastAsiaTheme="minorHAnsi"/>
                      <w:b/>
                      <w:bCs w:val="0"/>
                      <w:szCs w:val="24"/>
                    </w:rPr>
                  </w:pPr>
                  <w:r>
                    <w:rPr>
                      <w:rFonts w:cs="Times New Roman" w:eastAsiaTheme="minorHAnsi"/>
                      <w:b/>
                      <w:bCs w:val="0"/>
                      <w:szCs w:val="24"/>
                    </w:rPr>
                    <w:t>COVID Volumes       (03/03/2021)</w:t>
                  </w:r>
                </w:p>
              </w:tc>
              <w:tc>
                <w:tcPr>
                  <w:tcW w:w="558" w:type="dxa"/>
                  <w:noWrap/>
                </w:tcPr>
                <w:p>
                  <w:pPr>
                    <w:jc w:val="center"/>
                    <w:rPr>
                      <w:rFonts w:eastAsia="Times New Roman" w:cs="Times New Roman"/>
                      <w:b/>
                      <w:bCs/>
                      <w:color w:val="000000"/>
                    </w:rPr>
                  </w:pPr>
                </w:p>
              </w:tc>
              <w:tc>
                <w:tcPr>
                  <w:tcW w:w="655" w:type="dxa"/>
                  <w:noWrap/>
                </w:tcPr>
                <w:p>
                  <w:pPr>
                    <w:jc w:val="center"/>
                    <w:rPr>
                      <w:rFonts w:eastAsia="Times New Roman" w:cs="Times New Roman"/>
                      <w:b/>
                      <w:bCs/>
                      <w:color w:val="000000"/>
                    </w:rPr>
                  </w:pPr>
                </w:p>
              </w:tc>
              <w:tc>
                <w:tcPr>
                  <w:tcW w:w="506" w:type="dxa"/>
                  <w:noWrap/>
                </w:tcPr>
                <w:p>
                  <w:pPr>
                    <w:jc w:val="center"/>
                    <w:rPr>
                      <w:rFonts w:eastAsia="Times New Roman" w:cs="Times New Roman"/>
                      <w:b/>
                      <w:bCs/>
                      <w:color w:val="000000"/>
                    </w:rPr>
                  </w:pPr>
                </w:p>
              </w:tc>
              <w:tc>
                <w:tcPr>
                  <w:tcW w:w="544" w:type="dxa"/>
                  <w:noWrap/>
                </w:tcPr>
                <w:p>
                  <w:pPr>
                    <w:jc w:val="center"/>
                    <w:rPr>
                      <w:rFonts w:eastAsia="Times New Roman" w:cs="Times New Roman"/>
                      <w:b/>
                      <w:bCs/>
                      <w:color w:val="000000"/>
                    </w:rPr>
                  </w:pPr>
                </w:p>
              </w:tc>
              <w:tc>
                <w:tcPr>
                  <w:tcW w:w="589" w:type="dxa"/>
                  <w:noWrap/>
                </w:tcPr>
                <w:p>
                  <w:pPr>
                    <w:jc w:val="center"/>
                    <w:rPr>
                      <w:rFonts w:eastAsia="Times New Roman" w:cs="Times New Roman"/>
                      <w:b/>
                      <w:bCs/>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shd w:val="clear" w:color="auto" w:fill="F1F1F1" w:themeFill="background1" w:themeFillShade="F2"/>
                  <w:noWrap/>
                </w:tcPr>
                <w:p>
                  <w:pPr>
                    <w:jc w:val="left"/>
                    <w:rPr>
                      <w:rFonts w:eastAsia="Times New Roman" w:cs="Times New Roman"/>
                      <w:b/>
                      <w:bCs/>
                      <w:color w:val="000000"/>
                    </w:rPr>
                  </w:pPr>
                  <w:r>
                    <w:rPr>
                      <w:rFonts w:eastAsia="Times New Roman" w:cs="Times New Roman"/>
                      <w:b/>
                      <w:bCs/>
                      <w:color w:val="000000"/>
                    </w:rPr>
                    <w:t>Vehicle Type</w:t>
                  </w:r>
                </w:p>
              </w:tc>
              <w:tc>
                <w:tcPr>
                  <w:tcW w:w="516"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EBL</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EBT</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EBR</w:t>
                  </w:r>
                </w:p>
              </w:tc>
              <w:tc>
                <w:tcPr>
                  <w:tcW w:w="774"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WBL</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WBT</w:t>
                  </w:r>
                </w:p>
              </w:tc>
              <w:tc>
                <w:tcPr>
                  <w:tcW w:w="580"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WBR</w:t>
                  </w:r>
                </w:p>
              </w:tc>
              <w:tc>
                <w:tcPr>
                  <w:tcW w:w="642"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NBL</w:t>
                  </w:r>
                </w:p>
              </w:tc>
              <w:tc>
                <w:tcPr>
                  <w:tcW w:w="540"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NBT</w:t>
                  </w:r>
                </w:p>
              </w:tc>
              <w:tc>
                <w:tcPr>
                  <w:tcW w:w="558"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NBR</w:t>
                  </w:r>
                </w:p>
              </w:tc>
              <w:tc>
                <w:tcPr>
                  <w:tcW w:w="655"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SBL</w:t>
                  </w:r>
                </w:p>
              </w:tc>
              <w:tc>
                <w:tcPr>
                  <w:tcW w:w="506"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SBT</w:t>
                  </w:r>
                </w:p>
              </w:tc>
              <w:tc>
                <w:tcPr>
                  <w:tcW w:w="544"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SBR</w:t>
                  </w:r>
                </w:p>
              </w:tc>
              <w:tc>
                <w:tcPr>
                  <w:tcW w:w="58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Total</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restart"/>
                  <w:noWrap/>
                </w:tcPr>
                <w:p>
                  <w:pPr>
                    <w:jc w:val="left"/>
                    <w:rPr>
                      <w:rFonts w:eastAsia="Times New Roman" w:cs="Times New Roman"/>
                      <w:b/>
                      <w:bCs/>
                      <w:color w:val="000000"/>
                    </w:rPr>
                  </w:pPr>
                  <w:r>
                    <w:rPr>
                      <w:rFonts w:eastAsia="Times New Roman" w:cs="Times New Roman"/>
                      <w:b/>
                      <w:bCs/>
                      <w:color w:val="000000"/>
                    </w:rPr>
                    <w:t>Cars</w:t>
                  </w:r>
                </w:p>
              </w:tc>
              <w:tc>
                <w:tcPr>
                  <w:tcW w:w="516" w:type="dxa"/>
                  <w:noWrap/>
                </w:tcPr>
                <w:p>
                  <w:pPr>
                    <w:jc w:val="center"/>
                    <w:rPr>
                      <w:rFonts w:eastAsia="Times New Roman" w:cs="Times New Roman"/>
                      <w:color w:val="000000"/>
                    </w:rPr>
                  </w:pPr>
                  <w:r>
                    <w:rPr>
                      <w:rFonts w:eastAsia="Times New Roman" w:cs="Times New Roman"/>
                      <w:color w:val="000000"/>
                    </w:rPr>
                    <w:t>26</w:t>
                  </w:r>
                </w:p>
              </w:tc>
              <w:tc>
                <w:tcPr>
                  <w:tcW w:w="709" w:type="dxa"/>
                  <w:noWrap/>
                </w:tcPr>
                <w:p>
                  <w:pPr>
                    <w:jc w:val="center"/>
                    <w:rPr>
                      <w:rFonts w:eastAsia="Times New Roman" w:cs="Times New Roman"/>
                      <w:color w:val="000000"/>
                    </w:rPr>
                  </w:pPr>
                  <w:r>
                    <w:rPr>
                      <w:rFonts w:eastAsia="Times New Roman" w:cs="Times New Roman"/>
                      <w:color w:val="000000"/>
                    </w:rPr>
                    <w:t>191</w:t>
                  </w:r>
                </w:p>
              </w:tc>
              <w:tc>
                <w:tcPr>
                  <w:tcW w:w="709" w:type="dxa"/>
                  <w:noWrap/>
                </w:tcPr>
                <w:p>
                  <w:pPr>
                    <w:jc w:val="center"/>
                    <w:rPr>
                      <w:rFonts w:eastAsia="Times New Roman" w:cs="Times New Roman"/>
                      <w:color w:val="000000"/>
                    </w:rPr>
                  </w:pPr>
                  <w:r>
                    <w:rPr>
                      <w:rFonts w:eastAsia="Times New Roman" w:cs="Times New Roman"/>
                      <w:color w:val="000000"/>
                    </w:rPr>
                    <w:t>47</w:t>
                  </w:r>
                </w:p>
              </w:tc>
              <w:tc>
                <w:tcPr>
                  <w:tcW w:w="774" w:type="dxa"/>
                  <w:noWrap/>
                </w:tcPr>
                <w:p>
                  <w:pPr>
                    <w:jc w:val="center"/>
                    <w:rPr>
                      <w:rFonts w:eastAsia="Times New Roman" w:cs="Times New Roman"/>
                      <w:color w:val="000000"/>
                    </w:rPr>
                  </w:pPr>
                  <w:r>
                    <w:rPr>
                      <w:rFonts w:eastAsia="Times New Roman" w:cs="Times New Roman"/>
                      <w:color w:val="000000"/>
                    </w:rPr>
                    <w:t>62</w:t>
                  </w:r>
                </w:p>
              </w:tc>
              <w:tc>
                <w:tcPr>
                  <w:tcW w:w="709" w:type="dxa"/>
                  <w:noWrap/>
                </w:tcPr>
                <w:p>
                  <w:pPr>
                    <w:jc w:val="center"/>
                    <w:rPr>
                      <w:rFonts w:eastAsia="Times New Roman" w:cs="Times New Roman"/>
                      <w:color w:val="000000"/>
                    </w:rPr>
                  </w:pPr>
                  <w:r>
                    <w:rPr>
                      <w:rFonts w:eastAsia="Times New Roman" w:cs="Times New Roman"/>
                      <w:color w:val="000000"/>
                    </w:rPr>
                    <w:t>199</w:t>
                  </w:r>
                </w:p>
              </w:tc>
              <w:tc>
                <w:tcPr>
                  <w:tcW w:w="580" w:type="dxa"/>
                  <w:noWrap/>
                </w:tcPr>
                <w:p>
                  <w:pPr>
                    <w:jc w:val="center"/>
                    <w:rPr>
                      <w:rFonts w:eastAsia="Times New Roman" w:cs="Times New Roman"/>
                      <w:color w:val="000000"/>
                    </w:rPr>
                  </w:pPr>
                  <w:r>
                    <w:rPr>
                      <w:rFonts w:eastAsia="Times New Roman" w:cs="Times New Roman"/>
                      <w:color w:val="000000"/>
                    </w:rPr>
                    <w:t>43</w:t>
                  </w:r>
                </w:p>
              </w:tc>
              <w:tc>
                <w:tcPr>
                  <w:tcW w:w="642" w:type="dxa"/>
                  <w:noWrap/>
                </w:tcPr>
                <w:p>
                  <w:pPr>
                    <w:jc w:val="center"/>
                    <w:rPr>
                      <w:rFonts w:eastAsia="Times New Roman" w:cs="Times New Roman"/>
                      <w:color w:val="000000"/>
                    </w:rPr>
                  </w:pPr>
                  <w:r>
                    <w:rPr>
                      <w:rFonts w:eastAsia="Times New Roman" w:cs="Times New Roman"/>
                      <w:color w:val="000000"/>
                    </w:rPr>
                    <w:t>53</w:t>
                  </w:r>
                </w:p>
              </w:tc>
              <w:tc>
                <w:tcPr>
                  <w:tcW w:w="540" w:type="dxa"/>
                  <w:noWrap/>
                </w:tcPr>
                <w:p>
                  <w:pPr>
                    <w:jc w:val="center"/>
                    <w:rPr>
                      <w:rFonts w:eastAsia="Times New Roman" w:cs="Times New Roman"/>
                      <w:color w:val="000000"/>
                    </w:rPr>
                  </w:pPr>
                  <w:r>
                    <w:rPr>
                      <w:rFonts w:eastAsia="Times New Roman" w:cs="Times New Roman"/>
                      <w:color w:val="000000"/>
                    </w:rPr>
                    <w:t>42</w:t>
                  </w:r>
                </w:p>
              </w:tc>
              <w:tc>
                <w:tcPr>
                  <w:tcW w:w="558" w:type="dxa"/>
                  <w:noWrap/>
                </w:tcPr>
                <w:p>
                  <w:pPr>
                    <w:jc w:val="center"/>
                    <w:rPr>
                      <w:rFonts w:eastAsia="Times New Roman" w:cs="Times New Roman"/>
                      <w:color w:val="000000"/>
                    </w:rPr>
                  </w:pPr>
                  <w:r>
                    <w:rPr>
                      <w:rFonts w:eastAsia="Times New Roman" w:cs="Times New Roman"/>
                      <w:color w:val="000000"/>
                    </w:rPr>
                    <w:t>31</w:t>
                  </w:r>
                </w:p>
              </w:tc>
              <w:tc>
                <w:tcPr>
                  <w:tcW w:w="655" w:type="dxa"/>
                  <w:noWrap/>
                </w:tcPr>
                <w:p>
                  <w:pPr>
                    <w:jc w:val="center"/>
                    <w:rPr>
                      <w:rFonts w:eastAsia="Times New Roman" w:cs="Times New Roman"/>
                      <w:color w:val="000000"/>
                    </w:rPr>
                  </w:pPr>
                  <w:r>
                    <w:rPr>
                      <w:rFonts w:eastAsia="Times New Roman" w:cs="Times New Roman"/>
                      <w:color w:val="000000"/>
                    </w:rPr>
                    <w:t>41</w:t>
                  </w:r>
                </w:p>
              </w:tc>
              <w:tc>
                <w:tcPr>
                  <w:tcW w:w="506" w:type="dxa"/>
                  <w:noWrap/>
                </w:tcPr>
                <w:p>
                  <w:pPr>
                    <w:jc w:val="center"/>
                    <w:rPr>
                      <w:rFonts w:eastAsia="Times New Roman" w:cs="Times New Roman"/>
                      <w:color w:val="000000"/>
                    </w:rPr>
                  </w:pPr>
                  <w:r>
                    <w:rPr>
                      <w:rFonts w:eastAsia="Times New Roman" w:cs="Times New Roman"/>
                      <w:color w:val="000000"/>
                    </w:rPr>
                    <w:t>83</w:t>
                  </w:r>
                </w:p>
              </w:tc>
              <w:tc>
                <w:tcPr>
                  <w:tcW w:w="544" w:type="dxa"/>
                  <w:noWrap/>
                </w:tcPr>
                <w:p>
                  <w:pPr>
                    <w:jc w:val="center"/>
                    <w:rPr>
                      <w:rFonts w:eastAsia="Times New Roman" w:cs="Times New Roman"/>
                      <w:color w:val="000000"/>
                    </w:rPr>
                  </w:pPr>
                  <w:r>
                    <w:rPr>
                      <w:rFonts w:eastAsia="Times New Roman" w:cs="Times New Roman"/>
                      <w:color w:val="000000"/>
                    </w:rPr>
                    <w:t>49</w:t>
                  </w:r>
                </w:p>
              </w:tc>
              <w:tc>
                <w:tcPr>
                  <w:tcW w:w="589" w:type="dxa"/>
                  <w:vMerge w:val="restart"/>
                  <w:noWrap/>
                </w:tcPr>
                <w:p>
                  <w:pPr>
                    <w:jc w:val="center"/>
                    <w:rPr>
                      <w:rFonts w:eastAsia="Times New Roman" w:cs="Times New Roman"/>
                      <w:color w:val="000000"/>
                    </w:rPr>
                  </w:pPr>
                  <w:r>
                    <w:rPr>
                      <w:rFonts w:eastAsia="Times New Roman" w:cs="Times New Roman"/>
                      <w:color w:val="000000"/>
                    </w:rPr>
                    <w:t>867</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continue"/>
                  <w:shd w:val="clear" w:color="auto" w:fill="F1F1F1" w:themeFill="background1" w:themeFillShade="F2"/>
                </w:tcPr>
                <w:p>
                  <w:pPr>
                    <w:jc w:val="left"/>
                    <w:rPr>
                      <w:rFonts w:eastAsia="Times New Roman" w:cs="Times New Roman"/>
                      <w:b/>
                      <w:bCs/>
                      <w:color w:val="000000"/>
                    </w:rPr>
                  </w:pPr>
                </w:p>
              </w:tc>
              <w:tc>
                <w:tcPr>
                  <w:tcW w:w="193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264</w:t>
                  </w:r>
                </w:p>
              </w:tc>
              <w:tc>
                <w:tcPr>
                  <w:tcW w:w="2064"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304</w:t>
                  </w:r>
                </w:p>
              </w:tc>
              <w:tc>
                <w:tcPr>
                  <w:tcW w:w="1741"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126</w:t>
                  </w:r>
                </w:p>
              </w:tc>
              <w:tc>
                <w:tcPr>
                  <w:tcW w:w="170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173</w:t>
                  </w:r>
                </w:p>
              </w:tc>
              <w:tc>
                <w:tcPr>
                  <w:tcW w:w="589" w:type="dxa"/>
                  <w:vMerge w:val="continue"/>
                  <w:shd w:val="clear" w:color="auto" w:fill="F1F1F1" w:themeFill="background1" w:themeFillShade="F2"/>
                </w:tcPr>
                <w:p>
                  <w:pPr>
                    <w:jc w:val="center"/>
                    <w:rPr>
                      <w:rFonts w:eastAsia="Times New Roman" w:cs="Times New Roman"/>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restart"/>
                  <w:noWrap/>
                </w:tcPr>
                <w:p>
                  <w:pPr>
                    <w:jc w:val="left"/>
                    <w:rPr>
                      <w:rFonts w:eastAsia="Times New Roman" w:cs="Times New Roman"/>
                      <w:b/>
                      <w:bCs/>
                      <w:color w:val="000000"/>
                    </w:rPr>
                  </w:pPr>
                  <w:r>
                    <w:rPr>
                      <w:rFonts w:eastAsia="Times New Roman" w:cs="Times New Roman"/>
                      <w:b/>
                      <w:bCs/>
                      <w:color w:val="000000"/>
                    </w:rPr>
                    <w:t>Trucks</w:t>
                  </w:r>
                </w:p>
              </w:tc>
              <w:tc>
                <w:tcPr>
                  <w:tcW w:w="516" w:type="dxa"/>
                  <w:noWrap/>
                </w:tcPr>
                <w:p>
                  <w:pPr>
                    <w:jc w:val="center"/>
                    <w:rPr>
                      <w:rFonts w:eastAsia="Times New Roman" w:cs="Times New Roman"/>
                      <w:color w:val="000000"/>
                    </w:rPr>
                  </w:pPr>
                  <w:r>
                    <w:rPr>
                      <w:rFonts w:eastAsia="Times New Roman" w:cs="Times New Roman"/>
                      <w:color w:val="000000"/>
                    </w:rPr>
                    <w:t>21</w:t>
                  </w:r>
                </w:p>
              </w:tc>
              <w:tc>
                <w:tcPr>
                  <w:tcW w:w="709" w:type="dxa"/>
                  <w:noWrap/>
                </w:tcPr>
                <w:p>
                  <w:pPr>
                    <w:jc w:val="center"/>
                    <w:rPr>
                      <w:rFonts w:eastAsia="Times New Roman" w:cs="Times New Roman"/>
                      <w:color w:val="000000"/>
                    </w:rPr>
                  </w:pPr>
                  <w:r>
                    <w:rPr>
                      <w:rFonts w:eastAsia="Times New Roman" w:cs="Times New Roman"/>
                      <w:color w:val="000000"/>
                    </w:rPr>
                    <w:t>74</w:t>
                  </w:r>
                </w:p>
              </w:tc>
              <w:tc>
                <w:tcPr>
                  <w:tcW w:w="709" w:type="dxa"/>
                  <w:noWrap/>
                </w:tcPr>
                <w:p>
                  <w:pPr>
                    <w:jc w:val="center"/>
                    <w:rPr>
                      <w:rFonts w:eastAsia="Times New Roman" w:cs="Times New Roman"/>
                      <w:color w:val="000000"/>
                    </w:rPr>
                  </w:pPr>
                  <w:r>
                    <w:rPr>
                      <w:rFonts w:eastAsia="Times New Roman" w:cs="Times New Roman"/>
                      <w:color w:val="000000"/>
                    </w:rPr>
                    <w:t>101</w:t>
                  </w:r>
                </w:p>
              </w:tc>
              <w:tc>
                <w:tcPr>
                  <w:tcW w:w="774" w:type="dxa"/>
                  <w:noWrap/>
                </w:tcPr>
                <w:p>
                  <w:pPr>
                    <w:jc w:val="center"/>
                    <w:rPr>
                      <w:rFonts w:eastAsia="Times New Roman" w:cs="Times New Roman"/>
                      <w:color w:val="000000"/>
                    </w:rPr>
                  </w:pPr>
                  <w:r>
                    <w:rPr>
                      <w:rFonts w:eastAsia="Times New Roman" w:cs="Times New Roman"/>
                      <w:color w:val="000000"/>
                    </w:rPr>
                    <w:t>87</w:t>
                  </w:r>
                </w:p>
              </w:tc>
              <w:tc>
                <w:tcPr>
                  <w:tcW w:w="709" w:type="dxa"/>
                  <w:noWrap/>
                </w:tcPr>
                <w:p>
                  <w:pPr>
                    <w:jc w:val="center"/>
                    <w:rPr>
                      <w:rFonts w:eastAsia="Times New Roman" w:cs="Times New Roman"/>
                      <w:color w:val="000000"/>
                    </w:rPr>
                  </w:pPr>
                  <w:r>
                    <w:rPr>
                      <w:rFonts w:eastAsia="Times New Roman" w:cs="Times New Roman"/>
                      <w:color w:val="000000"/>
                    </w:rPr>
                    <w:t>80</w:t>
                  </w:r>
                </w:p>
              </w:tc>
              <w:tc>
                <w:tcPr>
                  <w:tcW w:w="580" w:type="dxa"/>
                  <w:noWrap/>
                </w:tcPr>
                <w:p>
                  <w:pPr>
                    <w:jc w:val="center"/>
                    <w:rPr>
                      <w:rFonts w:eastAsia="Times New Roman" w:cs="Times New Roman"/>
                      <w:color w:val="000000"/>
                    </w:rPr>
                  </w:pPr>
                  <w:r>
                    <w:rPr>
                      <w:rFonts w:eastAsia="Times New Roman" w:cs="Times New Roman"/>
                      <w:color w:val="000000"/>
                    </w:rPr>
                    <w:t>28</w:t>
                  </w:r>
                </w:p>
              </w:tc>
              <w:tc>
                <w:tcPr>
                  <w:tcW w:w="642" w:type="dxa"/>
                  <w:noWrap/>
                </w:tcPr>
                <w:p>
                  <w:pPr>
                    <w:jc w:val="center"/>
                    <w:rPr>
                      <w:rFonts w:eastAsia="Times New Roman" w:cs="Times New Roman"/>
                      <w:color w:val="000000"/>
                    </w:rPr>
                  </w:pPr>
                  <w:r>
                    <w:rPr>
                      <w:rFonts w:eastAsia="Times New Roman" w:cs="Times New Roman"/>
                      <w:color w:val="000000"/>
                    </w:rPr>
                    <w:t>68</w:t>
                  </w:r>
                </w:p>
              </w:tc>
              <w:tc>
                <w:tcPr>
                  <w:tcW w:w="540" w:type="dxa"/>
                  <w:noWrap/>
                </w:tcPr>
                <w:p>
                  <w:pPr>
                    <w:jc w:val="center"/>
                    <w:rPr>
                      <w:rFonts w:eastAsia="Times New Roman" w:cs="Times New Roman"/>
                      <w:color w:val="000000"/>
                    </w:rPr>
                  </w:pPr>
                  <w:r>
                    <w:rPr>
                      <w:rFonts w:eastAsia="Times New Roman" w:cs="Times New Roman"/>
                      <w:color w:val="000000"/>
                    </w:rPr>
                    <w:t>25</w:t>
                  </w:r>
                </w:p>
              </w:tc>
              <w:tc>
                <w:tcPr>
                  <w:tcW w:w="558" w:type="dxa"/>
                  <w:noWrap/>
                </w:tcPr>
                <w:p>
                  <w:pPr>
                    <w:jc w:val="center"/>
                    <w:rPr>
                      <w:rFonts w:eastAsia="Times New Roman" w:cs="Times New Roman"/>
                      <w:color w:val="000000"/>
                    </w:rPr>
                  </w:pPr>
                  <w:r>
                    <w:rPr>
                      <w:rFonts w:eastAsia="Times New Roman" w:cs="Times New Roman"/>
                      <w:color w:val="000000"/>
                    </w:rPr>
                    <w:t>52</w:t>
                  </w:r>
                </w:p>
              </w:tc>
              <w:tc>
                <w:tcPr>
                  <w:tcW w:w="655" w:type="dxa"/>
                  <w:noWrap/>
                </w:tcPr>
                <w:p>
                  <w:pPr>
                    <w:jc w:val="center"/>
                    <w:rPr>
                      <w:rFonts w:eastAsia="Times New Roman" w:cs="Times New Roman"/>
                      <w:color w:val="000000"/>
                    </w:rPr>
                  </w:pPr>
                  <w:r>
                    <w:rPr>
                      <w:rFonts w:eastAsia="Times New Roman" w:cs="Times New Roman"/>
                      <w:color w:val="000000"/>
                    </w:rPr>
                    <w:t>36</w:t>
                  </w:r>
                </w:p>
              </w:tc>
              <w:tc>
                <w:tcPr>
                  <w:tcW w:w="506" w:type="dxa"/>
                  <w:noWrap/>
                </w:tcPr>
                <w:p>
                  <w:pPr>
                    <w:jc w:val="center"/>
                    <w:rPr>
                      <w:rFonts w:eastAsia="Times New Roman" w:cs="Times New Roman"/>
                      <w:color w:val="000000"/>
                    </w:rPr>
                  </w:pPr>
                  <w:r>
                    <w:rPr>
                      <w:rFonts w:eastAsia="Times New Roman" w:cs="Times New Roman"/>
                      <w:color w:val="000000"/>
                    </w:rPr>
                    <w:t>63</w:t>
                  </w:r>
                </w:p>
              </w:tc>
              <w:tc>
                <w:tcPr>
                  <w:tcW w:w="544" w:type="dxa"/>
                  <w:noWrap/>
                </w:tcPr>
                <w:p>
                  <w:pPr>
                    <w:jc w:val="center"/>
                    <w:rPr>
                      <w:rFonts w:eastAsia="Times New Roman" w:cs="Times New Roman"/>
                      <w:color w:val="000000"/>
                    </w:rPr>
                  </w:pPr>
                  <w:r>
                    <w:rPr>
                      <w:rFonts w:eastAsia="Times New Roman" w:cs="Times New Roman"/>
                      <w:color w:val="000000"/>
                    </w:rPr>
                    <w:t>30</w:t>
                  </w:r>
                </w:p>
              </w:tc>
              <w:tc>
                <w:tcPr>
                  <w:tcW w:w="589" w:type="dxa"/>
                  <w:vMerge w:val="restart"/>
                  <w:noWrap/>
                </w:tcPr>
                <w:p>
                  <w:pPr>
                    <w:jc w:val="center"/>
                    <w:rPr>
                      <w:rFonts w:eastAsia="Times New Roman" w:cs="Times New Roman"/>
                      <w:color w:val="000000"/>
                    </w:rPr>
                  </w:pPr>
                  <w:r>
                    <w:rPr>
                      <w:rFonts w:eastAsia="Times New Roman" w:cs="Times New Roman"/>
                      <w:color w:val="000000"/>
                    </w:rPr>
                    <w:t>665</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continue"/>
                  <w:shd w:val="clear" w:color="auto" w:fill="F1F1F1" w:themeFill="background1" w:themeFillShade="F2"/>
                </w:tcPr>
                <w:p>
                  <w:pPr>
                    <w:jc w:val="left"/>
                    <w:rPr>
                      <w:rFonts w:eastAsia="Times New Roman" w:cs="Times New Roman"/>
                      <w:b/>
                      <w:bCs/>
                      <w:color w:val="000000"/>
                    </w:rPr>
                  </w:pPr>
                </w:p>
              </w:tc>
              <w:tc>
                <w:tcPr>
                  <w:tcW w:w="193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196</w:t>
                  </w:r>
                </w:p>
              </w:tc>
              <w:tc>
                <w:tcPr>
                  <w:tcW w:w="2064"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195</w:t>
                  </w:r>
                </w:p>
              </w:tc>
              <w:tc>
                <w:tcPr>
                  <w:tcW w:w="1741"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145</w:t>
                  </w:r>
                </w:p>
              </w:tc>
              <w:tc>
                <w:tcPr>
                  <w:tcW w:w="170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129</w:t>
                  </w:r>
                </w:p>
              </w:tc>
              <w:tc>
                <w:tcPr>
                  <w:tcW w:w="589" w:type="dxa"/>
                  <w:vMerge w:val="continue"/>
                  <w:shd w:val="clear" w:color="auto" w:fill="F1F1F1" w:themeFill="background1" w:themeFillShade="F2"/>
                </w:tcPr>
                <w:p>
                  <w:pPr>
                    <w:jc w:val="center"/>
                    <w:rPr>
                      <w:rFonts w:eastAsia="Times New Roman" w:cs="Times New Roman"/>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restart"/>
                  <w:noWrap/>
                </w:tcPr>
                <w:p>
                  <w:pPr>
                    <w:jc w:val="left"/>
                    <w:rPr>
                      <w:rFonts w:eastAsia="Times New Roman" w:cs="Times New Roman"/>
                      <w:b/>
                      <w:bCs/>
                      <w:color w:val="000000"/>
                    </w:rPr>
                  </w:pPr>
                  <w:r>
                    <w:rPr>
                      <w:rFonts w:eastAsia="Times New Roman" w:cs="Times New Roman"/>
                      <w:b/>
                      <w:bCs/>
                      <w:color w:val="000000"/>
                    </w:rPr>
                    <w:t>Buses</w:t>
                  </w:r>
                </w:p>
              </w:tc>
              <w:tc>
                <w:tcPr>
                  <w:tcW w:w="516" w:type="dxa"/>
                  <w:noWrap/>
                </w:tcPr>
                <w:p>
                  <w:pPr>
                    <w:jc w:val="center"/>
                    <w:rPr>
                      <w:rFonts w:eastAsia="Times New Roman" w:cs="Times New Roman"/>
                      <w:color w:val="000000"/>
                    </w:rPr>
                  </w:pPr>
                  <w:r>
                    <w:rPr>
                      <w:rFonts w:eastAsia="Times New Roman" w:cs="Times New Roman"/>
                      <w:color w:val="000000"/>
                    </w:rPr>
                    <w:t>0</w:t>
                  </w:r>
                </w:p>
              </w:tc>
              <w:tc>
                <w:tcPr>
                  <w:tcW w:w="709" w:type="dxa"/>
                  <w:noWrap/>
                </w:tcPr>
                <w:p>
                  <w:pPr>
                    <w:jc w:val="center"/>
                    <w:rPr>
                      <w:rFonts w:eastAsia="Times New Roman" w:cs="Times New Roman"/>
                      <w:color w:val="000000"/>
                    </w:rPr>
                  </w:pPr>
                  <w:r>
                    <w:rPr>
                      <w:rFonts w:eastAsia="Times New Roman" w:cs="Times New Roman"/>
                      <w:color w:val="000000"/>
                    </w:rPr>
                    <w:t>0</w:t>
                  </w:r>
                </w:p>
              </w:tc>
              <w:tc>
                <w:tcPr>
                  <w:tcW w:w="709" w:type="dxa"/>
                  <w:noWrap/>
                </w:tcPr>
                <w:p>
                  <w:pPr>
                    <w:jc w:val="center"/>
                    <w:rPr>
                      <w:rFonts w:eastAsia="Times New Roman" w:cs="Times New Roman"/>
                      <w:color w:val="000000"/>
                    </w:rPr>
                  </w:pPr>
                  <w:r>
                    <w:rPr>
                      <w:rFonts w:eastAsia="Times New Roman" w:cs="Times New Roman"/>
                      <w:color w:val="000000"/>
                    </w:rPr>
                    <w:t>1</w:t>
                  </w:r>
                </w:p>
              </w:tc>
              <w:tc>
                <w:tcPr>
                  <w:tcW w:w="774" w:type="dxa"/>
                  <w:noWrap/>
                </w:tcPr>
                <w:p>
                  <w:pPr>
                    <w:jc w:val="center"/>
                    <w:rPr>
                      <w:rFonts w:eastAsia="Times New Roman" w:cs="Times New Roman"/>
                      <w:color w:val="000000"/>
                    </w:rPr>
                  </w:pPr>
                  <w:r>
                    <w:rPr>
                      <w:rFonts w:eastAsia="Times New Roman" w:cs="Times New Roman"/>
                      <w:color w:val="000000"/>
                    </w:rPr>
                    <w:t>0</w:t>
                  </w:r>
                </w:p>
              </w:tc>
              <w:tc>
                <w:tcPr>
                  <w:tcW w:w="709" w:type="dxa"/>
                  <w:noWrap/>
                </w:tcPr>
                <w:p>
                  <w:pPr>
                    <w:jc w:val="center"/>
                    <w:rPr>
                      <w:rFonts w:eastAsia="Times New Roman" w:cs="Times New Roman"/>
                      <w:color w:val="000000"/>
                    </w:rPr>
                  </w:pPr>
                  <w:r>
                    <w:rPr>
                      <w:rFonts w:eastAsia="Times New Roman" w:cs="Times New Roman"/>
                      <w:color w:val="000000"/>
                    </w:rPr>
                    <w:t>0</w:t>
                  </w:r>
                </w:p>
              </w:tc>
              <w:tc>
                <w:tcPr>
                  <w:tcW w:w="580" w:type="dxa"/>
                  <w:noWrap/>
                </w:tcPr>
                <w:p>
                  <w:pPr>
                    <w:jc w:val="center"/>
                    <w:rPr>
                      <w:rFonts w:eastAsia="Times New Roman" w:cs="Times New Roman"/>
                      <w:color w:val="000000"/>
                    </w:rPr>
                  </w:pPr>
                  <w:r>
                    <w:rPr>
                      <w:rFonts w:eastAsia="Times New Roman" w:cs="Times New Roman"/>
                      <w:color w:val="000000"/>
                    </w:rPr>
                    <w:t>0</w:t>
                  </w:r>
                </w:p>
              </w:tc>
              <w:tc>
                <w:tcPr>
                  <w:tcW w:w="642" w:type="dxa"/>
                  <w:noWrap/>
                </w:tcPr>
                <w:p>
                  <w:pPr>
                    <w:jc w:val="center"/>
                    <w:rPr>
                      <w:rFonts w:eastAsia="Times New Roman" w:cs="Times New Roman"/>
                      <w:color w:val="000000"/>
                    </w:rPr>
                  </w:pPr>
                  <w:r>
                    <w:rPr>
                      <w:rFonts w:eastAsia="Times New Roman" w:cs="Times New Roman"/>
                      <w:color w:val="000000"/>
                    </w:rPr>
                    <w:t>2</w:t>
                  </w:r>
                </w:p>
              </w:tc>
              <w:tc>
                <w:tcPr>
                  <w:tcW w:w="540" w:type="dxa"/>
                  <w:noWrap/>
                </w:tcPr>
                <w:p>
                  <w:pPr>
                    <w:jc w:val="center"/>
                    <w:rPr>
                      <w:rFonts w:eastAsia="Times New Roman" w:cs="Times New Roman"/>
                      <w:color w:val="000000"/>
                    </w:rPr>
                  </w:pPr>
                  <w:r>
                    <w:rPr>
                      <w:rFonts w:eastAsia="Times New Roman" w:cs="Times New Roman"/>
                      <w:color w:val="000000"/>
                    </w:rPr>
                    <w:t>0</w:t>
                  </w:r>
                </w:p>
              </w:tc>
              <w:tc>
                <w:tcPr>
                  <w:tcW w:w="558" w:type="dxa"/>
                  <w:noWrap/>
                </w:tcPr>
                <w:p>
                  <w:pPr>
                    <w:jc w:val="center"/>
                    <w:rPr>
                      <w:rFonts w:eastAsia="Times New Roman" w:cs="Times New Roman"/>
                      <w:color w:val="000000"/>
                    </w:rPr>
                  </w:pPr>
                  <w:r>
                    <w:rPr>
                      <w:rFonts w:eastAsia="Times New Roman" w:cs="Times New Roman"/>
                      <w:color w:val="000000"/>
                    </w:rPr>
                    <w:t>0</w:t>
                  </w:r>
                </w:p>
              </w:tc>
              <w:tc>
                <w:tcPr>
                  <w:tcW w:w="655" w:type="dxa"/>
                  <w:noWrap/>
                </w:tcPr>
                <w:p>
                  <w:pPr>
                    <w:jc w:val="center"/>
                    <w:rPr>
                      <w:rFonts w:eastAsia="Times New Roman" w:cs="Times New Roman"/>
                      <w:color w:val="000000"/>
                    </w:rPr>
                  </w:pPr>
                  <w:r>
                    <w:rPr>
                      <w:rFonts w:eastAsia="Times New Roman" w:cs="Times New Roman"/>
                      <w:color w:val="000000"/>
                    </w:rPr>
                    <w:t>0</w:t>
                  </w:r>
                </w:p>
              </w:tc>
              <w:tc>
                <w:tcPr>
                  <w:tcW w:w="506" w:type="dxa"/>
                  <w:noWrap/>
                </w:tcPr>
                <w:p>
                  <w:pPr>
                    <w:jc w:val="center"/>
                    <w:rPr>
                      <w:rFonts w:eastAsia="Times New Roman" w:cs="Times New Roman"/>
                      <w:color w:val="000000"/>
                    </w:rPr>
                  </w:pPr>
                  <w:r>
                    <w:rPr>
                      <w:rFonts w:eastAsia="Times New Roman" w:cs="Times New Roman"/>
                      <w:color w:val="000000"/>
                    </w:rPr>
                    <w:t>0</w:t>
                  </w:r>
                </w:p>
              </w:tc>
              <w:tc>
                <w:tcPr>
                  <w:tcW w:w="544" w:type="dxa"/>
                  <w:noWrap/>
                </w:tcPr>
                <w:p>
                  <w:pPr>
                    <w:jc w:val="center"/>
                    <w:rPr>
                      <w:rFonts w:eastAsia="Times New Roman" w:cs="Times New Roman"/>
                      <w:color w:val="000000"/>
                    </w:rPr>
                  </w:pPr>
                  <w:r>
                    <w:rPr>
                      <w:rFonts w:eastAsia="Times New Roman" w:cs="Times New Roman"/>
                      <w:color w:val="000000"/>
                    </w:rPr>
                    <w:t>0</w:t>
                  </w:r>
                </w:p>
              </w:tc>
              <w:tc>
                <w:tcPr>
                  <w:tcW w:w="589" w:type="dxa"/>
                  <w:vMerge w:val="restart"/>
                  <w:noWrap/>
                </w:tcPr>
                <w:p>
                  <w:pPr>
                    <w:jc w:val="center"/>
                    <w:rPr>
                      <w:rFonts w:eastAsia="Times New Roman" w:cs="Times New Roman"/>
                      <w:color w:val="000000"/>
                    </w:rPr>
                  </w:pPr>
                  <w:r>
                    <w:rPr>
                      <w:rFonts w:eastAsia="Times New Roman" w:cs="Times New Roman"/>
                      <w:color w:val="000000"/>
                    </w:rPr>
                    <w:t>3</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continue"/>
                  <w:shd w:val="clear" w:color="auto" w:fill="F1F1F1" w:themeFill="background1" w:themeFillShade="F2"/>
                </w:tcPr>
                <w:p>
                  <w:pPr>
                    <w:jc w:val="left"/>
                    <w:rPr>
                      <w:rFonts w:eastAsia="Times New Roman" w:cs="Times New Roman"/>
                      <w:b/>
                      <w:bCs/>
                      <w:color w:val="000000"/>
                    </w:rPr>
                  </w:pPr>
                </w:p>
              </w:tc>
              <w:tc>
                <w:tcPr>
                  <w:tcW w:w="193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w:t>
                  </w:r>
                </w:p>
              </w:tc>
              <w:tc>
                <w:tcPr>
                  <w:tcW w:w="2064"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0</w:t>
                  </w:r>
                </w:p>
              </w:tc>
              <w:tc>
                <w:tcPr>
                  <w:tcW w:w="1741"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2</w:t>
                  </w:r>
                </w:p>
              </w:tc>
              <w:tc>
                <w:tcPr>
                  <w:tcW w:w="170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0</w:t>
                  </w:r>
                </w:p>
              </w:tc>
              <w:tc>
                <w:tcPr>
                  <w:tcW w:w="589" w:type="dxa"/>
                  <w:vMerge w:val="continue"/>
                  <w:shd w:val="clear" w:color="auto" w:fill="F1F1F1" w:themeFill="background1" w:themeFillShade="F2"/>
                </w:tcPr>
                <w:p>
                  <w:pPr>
                    <w:jc w:val="center"/>
                    <w:rPr>
                      <w:rFonts w:eastAsia="Times New Roman" w:cs="Times New Roman"/>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restart"/>
                  <w:noWrap/>
                </w:tcPr>
                <w:p>
                  <w:pPr>
                    <w:rPr>
                      <w:rFonts w:eastAsia="Times New Roman" w:cs="Times New Roman"/>
                      <w:b/>
                      <w:bCs/>
                      <w:color w:val="000000"/>
                    </w:rPr>
                  </w:pPr>
                  <w:r>
                    <w:rPr>
                      <w:rFonts w:eastAsia="Times New Roman" w:cs="Times New Roman"/>
                      <w:b/>
                      <w:bCs/>
                      <w:color w:val="000000"/>
                    </w:rPr>
                    <w:t>Total</w:t>
                  </w:r>
                </w:p>
              </w:tc>
              <w:tc>
                <w:tcPr>
                  <w:tcW w:w="516" w:type="dxa"/>
                  <w:noWrap/>
                </w:tcPr>
                <w:p>
                  <w:pPr>
                    <w:jc w:val="center"/>
                    <w:rPr>
                      <w:rFonts w:eastAsia="Times New Roman" w:cs="Times New Roman"/>
                      <w:color w:val="000000"/>
                    </w:rPr>
                  </w:pPr>
                  <w:r>
                    <w:rPr>
                      <w:rFonts w:eastAsia="Times New Roman" w:cs="Times New Roman"/>
                      <w:color w:val="000000"/>
                    </w:rPr>
                    <w:t>47</w:t>
                  </w:r>
                </w:p>
              </w:tc>
              <w:tc>
                <w:tcPr>
                  <w:tcW w:w="709" w:type="dxa"/>
                  <w:noWrap/>
                </w:tcPr>
                <w:p>
                  <w:pPr>
                    <w:jc w:val="center"/>
                    <w:rPr>
                      <w:rFonts w:eastAsia="Times New Roman" w:cs="Times New Roman"/>
                      <w:color w:val="000000"/>
                    </w:rPr>
                  </w:pPr>
                  <w:r>
                    <w:rPr>
                      <w:rFonts w:eastAsia="Times New Roman" w:cs="Times New Roman"/>
                      <w:color w:val="000000"/>
                    </w:rPr>
                    <w:t>265</w:t>
                  </w:r>
                </w:p>
              </w:tc>
              <w:tc>
                <w:tcPr>
                  <w:tcW w:w="709" w:type="dxa"/>
                  <w:noWrap/>
                </w:tcPr>
                <w:p>
                  <w:pPr>
                    <w:jc w:val="center"/>
                    <w:rPr>
                      <w:rFonts w:eastAsia="Times New Roman" w:cs="Times New Roman"/>
                      <w:color w:val="000000"/>
                    </w:rPr>
                  </w:pPr>
                  <w:r>
                    <w:rPr>
                      <w:rFonts w:eastAsia="Times New Roman" w:cs="Times New Roman"/>
                      <w:color w:val="000000"/>
                    </w:rPr>
                    <w:t>149</w:t>
                  </w:r>
                </w:p>
              </w:tc>
              <w:tc>
                <w:tcPr>
                  <w:tcW w:w="774" w:type="dxa"/>
                  <w:noWrap/>
                </w:tcPr>
                <w:p>
                  <w:pPr>
                    <w:jc w:val="center"/>
                    <w:rPr>
                      <w:rFonts w:eastAsia="Times New Roman" w:cs="Times New Roman"/>
                      <w:color w:val="000000"/>
                    </w:rPr>
                  </w:pPr>
                  <w:r>
                    <w:rPr>
                      <w:rFonts w:eastAsia="Times New Roman" w:cs="Times New Roman"/>
                      <w:color w:val="000000"/>
                    </w:rPr>
                    <w:t>149</w:t>
                  </w:r>
                </w:p>
              </w:tc>
              <w:tc>
                <w:tcPr>
                  <w:tcW w:w="709" w:type="dxa"/>
                  <w:noWrap/>
                </w:tcPr>
                <w:p>
                  <w:pPr>
                    <w:jc w:val="center"/>
                    <w:rPr>
                      <w:rFonts w:eastAsia="Times New Roman" w:cs="Times New Roman"/>
                      <w:color w:val="000000"/>
                    </w:rPr>
                  </w:pPr>
                  <w:r>
                    <w:rPr>
                      <w:rFonts w:eastAsia="Times New Roman" w:cs="Times New Roman"/>
                      <w:color w:val="000000"/>
                    </w:rPr>
                    <w:t>279</w:t>
                  </w:r>
                </w:p>
              </w:tc>
              <w:tc>
                <w:tcPr>
                  <w:tcW w:w="580" w:type="dxa"/>
                  <w:noWrap/>
                </w:tcPr>
                <w:p>
                  <w:pPr>
                    <w:jc w:val="center"/>
                    <w:rPr>
                      <w:rFonts w:eastAsia="Times New Roman" w:cs="Times New Roman"/>
                      <w:color w:val="000000"/>
                    </w:rPr>
                  </w:pPr>
                  <w:r>
                    <w:rPr>
                      <w:rFonts w:eastAsia="Times New Roman" w:cs="Times New Roman"/>
                      <w:color w:val="000000"/>
                    </w:rPr>
                    <w:t>71</w:t>
                  </w:r>
                </w:p>
              </w:tc>
              <w:tc>
                <w:tcPr>
                  <w:tcW w:w="642" w:type="dxa"/>
                  <w:noWrap/>
                </w:tcPr>
                <w:p>
                  <w:pPr>
                    <w:jc w:val="center"/>
                    <w:rPr>
                      <w:rFonts w:eastAsia="Times New Roman" w:cs="Times New Roman"/>
                      <w:color w:val="000000"/>
                    </w:rPr>
                  </w:pPr>
                  <w:r>
                    <w:rPr>
                      <w:rFonts w:eastAsia="Times New Roman" w:cs="Times New Roman"/>
                      <w:color w:val="000000"/>
                    </w:rPr>
                    <w:t>123</w:t>
                  </w:r>
                </w:p>
              </w:tc>
              <w:tc>
                <w:tcPr>
                  <w:tcW w:w="540" w:type="dxa"/>
                  <w:noWrap/>
                </w:tcPr>
                <w:p>
                  <w:pPr>
                    <w:jc w:val="center"/>
                    <w:rPr>
                      <w:rFonts w:eastAsia="Times New Roman" w:cs="Times New Roman"/>
                      <w:color w:val="000000"/>
                    </w:rPr>
                  </w:pPr>
                  <w:r>
                    <w:rPr>
                      <w:rFonts w:eastAsia="Times New Roman" w:cs="Times New Roman"/>
                      <w:color w:val="000000"/>
                    </w:rPr>
                    <w:t>67</w:t>
                  </w:r>
                </w:p>
              </w:tc>
              <w:tc>
                <w:tcPr>
                  <w:tcW w:w="558" w:type="dxa"/>
                  <w:noWrap/>
                </w:tcPr>
                <w:p>
                  <w:pPr>
                    <w:jc w:val="center"/>
                    <w:rPr>
                      <w:rFonts w:eastAsia="Times New Roman" w:cs="Times New Roman"/>
                      <w:color w:val="000000"/>
                    </w:rPr>
                  </w:pPr>
                  <w:r>
                    <w:rPr>
                      <w:rFonts w:eastAsia="Times New Roman" w:cs="Times New Roman"/>
                      <w:color w:val="000000"/>
                    </w:rPr>
                    <w:t>83</w:t>
                  </w:r>
                </w:p>
              </w:tc>
              <w:tc>
                <w:tcPr>
                  <w:tcW w:w="655" w:type="dxa"/>
                  <w:noWrap/>
                </w:tcPr>
                <w:p>
                  <w:pPr>
                    <w:jc w:val="center"/>
                    <w:rPr>
                      <w:rFonts w:eastAsia="Times New Roman" w:cs="Times New Roman"/>
                      <w:color w:val="000000"/>
                    </w:rPr>
                  </w:pPr>
                  <w:r>
                    <w:rPr>
                      <w:rFonts w:eastAsia="Times New Roman" w:cs="Times New Roman"/>
                      <w:color w:val="000000"/>
                    </w:rPr>
                    <w:t>77</w:t>
                  </w:r>
                </w:p>
              </w:tc>
              <w:tc>
                <w:tcPr>
                  <w:tcW w:w="506" w:type="dxa"/>
                  <w:noWrap/>
                </w:tcPr>
                <w:p>
                  <w:pPr>
                    <w:jc w:val="center"/>
                    <w:rPr>
                      <w:rFonts w:eastAsia="Times New Roman" w:cs="Times New Roman"/>
                      <w:color w:val="000000"/>
                    </w:rPr>
                  </w:pPr>
                  <w:r>
                    <w:rPr>
                      <w:rFonts w:eastAsia="Times New Roman" w:cs="Times New Roman"/>
                      <w:color w:val="000000"/>
                    </w:rPr>
                    <w:t>146</w:t>
                  </w:r>
                </w:p>
              </w:tc>
              <w:tc>
                <w:tcPr>
                  <w:tcW w:w="544" w:type="dxa"/>
                  <w:noWrap/>
                </w:tcPr>
                <w:p>
                  <w:pPr>
                    <w:jc w:val="center"/>
                    <w:rPr>
                      <w:rFonts w:eastAsia="Times New Roman" w:cs="Times New Roman"/>
                      <w:color w:val="000000"/>
                    </w:rPr>
                  </w:pPr>
                  <w:r>
                    <w:rPr>
                      <w:rFonts w:eastAsia="Times New Roman" w:cs="Times New Roman"/>
                      <w:color w:val="000000"/>
                    </w:rPr>
                    <w:t>79</w:t>
                  </w:r>
                </w:p>
              </w:tc>
              <w:tc>
                <w:tcPr>
                  <w:tcW w:w="589" w:type="dxa"/>
                  <w:vMerge w:val="restart"/>
                  <w:noWrap/>
                </w:tcPr>
                <w:p>
                  <w:pPr>
                    <w:jc w:val="center"/>
                    <w:rPr>
                      <w:rFonts w:eastAsia="Times New Roman" w:cs="Times New Roman"/>
                      <w:color w:val="000000"/>
                    </w:rPr>
                  </w:pPr>
                  <w:r>
                    <w:rPr>
                      <w:rFonts w:eastAsia="Times New Roman" w:cs="Times New Roman"/>
                      <w:color w:val="000000"/>
                    </w:rPr>
                    <w:t>1535</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continue"/>
                  <w:shd w:val="clear" w:color="auto" w:fill="F1F1F1" w:themeFill="background1" w:themeFillShade="F2"/>
                </w:tcPr>
                <w:p>
                  <w:pPr>
                    <w:jc w:val="left"/>
                    <w:rPr>
                      <w:rFonts w:eastAsia="Times New Roman" w:cs="Times New Roman"/>
                      <w:b/>
                      <w:bCs/>
                      <w:color w:val="000000"/>
                    </w:rPr>
                  </w:pPr>
                </w:p>
              </w:tc>
              <w:tc>
                <w:tcPr>
                  <w:tcW w:w="193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461</w:t>
                  </w:r>
                </w:p>
              </w:tc>
              <w:tc>
                <w:tcPr>
                  <w:tcW w:w="2064"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499</w:t>
                  </w:r>
                </w:p>
              </w:tc>
              <w:tc>
                <w:tcPr>
                  <w:tcW w:w="1741"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273</w:t>
                  </w:r>
                </w:p>
              </w:tc>
              <w:tc>
                <w:tcPr>
                  <w:tcW w:w="170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302</w:t>
                  </w:r>
                </w:p>
              </w:tc>
              <w:tc>
                <w:tcPr>
                  <w:tcW w:w="589" w:type="dxa"/>
                  <w:vMerge w:val="continue"/>
                  <w:shd w:val="clear" w:color="auto" w:fill="F1F1F1" w:themeFill="background1" w:themeFillShade="F2"/>
                </w:tcPr>
                <w:p>
                  <w:pPr>
                    <w:jc w:val="center"/>
                    <w:rPr>
                      <w:rFonts w:eastAsia="Times New Roman" w:cs="Times New Roman"/>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noWrap/>
                </w:tcPr>
                <w:p>
                  <w:pPr>
                    <w:jc w:val="left"/>
                    <w:rPr>
                      <w:rFonts w:eastAsia="Times New Roman" w:cs="Times New Roman"/>
                      <w:b/>
                      <w:bCs/>
                      <w:color w:val="000000"/>
                    </w:rPr>
                  </w:pPr>
                  <w:r>
                    <w:rPr>
                      <w:rFonts w:eastAsia="Times New Roman" w:cs="Times New Roman"/>
                      <w:b/>
                      <w:bCs/>
                      <w:color w:val="000000"/>
                    </w:rPr>
                    <w:t>% HV</w:t>
                  </w:r>
                </w:p>
              </w:tc>
              <w:tc>
                <w:tcPr>
                  <w:tcW w:w="516" w:type="dxa"/>
                  <w:noWrap/>
                </w:tcPr>
                <w:p>
                  <w:pPr>
                    <w:jc w:val="center"/>
                    <w:rPr>
                      <w:rFonts w:eastAsia="Times New Roman" w:cs="Times New Roman"/>
                      <w:color w:val="000000"/>
                    </w:rPr>
                  </w:pPr>
                  <w:r>
                    <w:rPr>
                      <w:rFonts w:eastAsia="Times New Roman" w:cs="Times New Roman"/>
                      <w:color w:val="000000"/>
                    </w:rPr>
                    <w:t>45%</w:t>
                  </w:r>
                </w:p>
              </w:tc>
              <w:tc>
                <w:tcPr>
                  <w:tcW w:w="709" w:type="dxa"/>
                  <w:noWrap/>
                </w:tcPr>
                <w:p>
                  <w:pPr>
                    <w:jc w:val="center"/>
                    <w:rPr>
                      <w:rFonts w:eastAsia="Times New Roman" w:cs="Times New Roman"/>
                      <w:color w:val="000000"/>
                    </w:rPr>
                  </w:pPr>
                  <w:r>
                    <w:rPr>
                      <w:rFonts w:eastAsia="Times New Roman" w:cs="Times New Roman"/>
                      <w:color w:val="000000"/>
                    </w:rPr>
                    <w:t>28%</w:t>
                  </w:r>
                </w:p>
              </w:tc>
              <w:tc>
                <w:tcPr>
                  <w:tcW w:w="709" w:type="dxa"/>
                  <w:noWrap/>
                </w:tcPr>
                <w:p>
                  <w:pPr>
                    <w:jc w:val="center"/>
                    <w:rPr>
                      <w:rFonts w:eastAsia="Times New Roman" w:cs="Times New Roman"/>
                      <w:color w:val="000000"/>
                    </w:rPr>
                  </w:pPr>
                  <w:r>
                    <w:rPr>
                      <w:rFonts w:eastAsia="Times New Roman" w:cs="Times New Roman"/>
                      <w:color w:val="000000"/>
                    </w:rPr>
                    <w:t>68%</w:t>
                  </w:r>
                </w:p>
              </w:tc>
              <w:tc>
                <w:tcPr>
                  <w:tcW w:w="774" w:type="dxa"/>
                  <w:noWrap/>
                </w:tcPr>
                <w:p>
                  <w:pPr>
                    <w:jc w:val="center"/>
                    <w:rPr>
                      <w:rFonts w:eastAsia="Times New Roman" w:cs="Times New Roman"/>
                      <w:color w:val="000000"/>
                    </w:rPr>
                  </w:pPr>
                  <w:r>
                    <w:rPr>
                      <w:rFonts w:eastAsia="Times New Roman" w:cs="Times New Roman"/>
                      <w:color w:val="000000"/>
                    </w:rPr>
                    <w:t>58%</w:t>
                  </w:r>
                </w:p>
              </w:tc>
              <w:tc>
                <w:tcPr>
                  <w:tcW w:w="709" w:type="dxa"/>
                  <w:noWrap/>
                </w:tcPr>
                <w:p>
                  <w:pPr>
                    <w:jc w:val="center"/>
                    <w:rPr>
                      <w:rFonts w:eastAsia="Times New Roman" w:cs="Times New Roman"/>
                      <w:color w:val="000000"/>
                    </w:rPr>
                  </w:pPr>
                  <w:r>
                    <w:rPr>
                      <w:rFonts w:eastAsia="Times New Roman" w:cs="Times New Roman"/>
                      <w:color w:val="000000"/>
                    </w:rPr>
                    <w:t>29%</w:t>
                  </w:r>
                </w:p>
              </w:tc>
              <w:tc>
                <w:tcPr>
                  <w:tcW w:w="580" w:type="dxa"/>
                  <w:noWrap/>
                </w:tcPr>
                <w:p>
                  <w:pPr>
                    <w:jc w:val="center"/>
                    <w:rPr>
                      <w:rFonts w:eastAsia="Times New Roman" w:cs="Times New Roman"/>
                      <w:color w:val="000000"/>
                    </w:rPr>
                  </w:pPr>
                  <w:r>
                    <w:rPr>
                      <w:rFonts w:eastAsia="Times New Roman" w:cs="Times New Roman"/>
                      <w:color w:val="000000"/>
                    </w:rPr>
                    <w:t>39%</w:t>
                  </w:r>
                </w:p>
              </w:tc>
              <w:tc>
                <w:tcPr>
                  <w:tcW w:w="642" w:type="dxa"/>
                  <w:noWrap/>
                </w:tcPr>
                <w:p>
                  <w:pPr>
                    <w:jc w:val="center"/>
                    <w:rPr>
                      <w:rFonts w:eastAsia="Times New Roman" w:cs="Times New Roman"/>
                      <w:color w:val="000000"/>
                    </w:rPr>
                  </w:pPr>
                  <w:r>
                    <w:rPr>
                      <w:rFonts w:eastAsia="Times New Roman" w:cs="Times New Roman"/>
                      <w:color w:val="000000"/>
                    </w:rPr>
                    <w:t>57%</w:t>
                  </w:r>
                </w:p>
              </w:tc>
              <w:tc>
                <w:tcPr>
                  <w:tcW w:w="540" w:type="dxa"/>
                  <w:noWrap/>
                </w:tcPr>
                <w:p>
                  <w:pPr>
                    <w:jc w:val="center"/>
                    <w:rPr>
                      <w:rFonts w:eastAsia="Times New Roman" w:cs="Times New Roman"/>
                      <w:color w:val="000000"/>
                    </w:rPr>
                  </w:pPr>
                  <w:r>
                    <w:rPr>
                      <w:rFonts w:eastAsia="Times New Roman" w:cs="Times New Roman"/>
                      <w:color w:val="000000"/>
                    </w:rPr>
                    <w:t>37%</w:t>
                  </w:r>
                </w:p>
              </w:tc>
              <w:tc>
                <w:tcPr>
                  <w:tcW w:w="558" w:type="dxa"/>
                  <w:noWrap/>
                </w:tcPr>
                <w:p>
                  <w:pPr>
                    <w:jc w:val="center"/>
                    <w:rPr>
                      <w:rFonts w:eastAsia="Times New Roman" w:cs="Times New Roman"/>
                      <w:color w:val="000000"/>
                    </w:rPr>
                  </w:pPr>
                  <w:r>
                    <w:rPr>
                      <w:rFonts w:eastAsia="Times New Roman" w:cs="Times New Roman"/>
                      <w:color w:val="000000"/>
                    </w:rPr>
                    <w:t>63%</w:t>
                  </w:r>
                </w:p>
              </w:tc>
              <w:tc>
                <w:tcPr>
                  <w:tcW w:w="655" w:type="dxa"/>
                  <w:noWrap/>
                </w:tcPr>
                <w:p>
                  <w:pPr>
                    <w:jc w:val="center"/>
                    <w:rPr>
                      <w:rFonts w:eastAsia="Times New Roman" w:cs="Times New Roman"/>
                      <w:color w:val="000000"/>
                    </w:rPr>
                  </w:pPr>
                  <w:r>
                    <w:rPr>
                      <w:rFonts w:eastAsia="Times New Roman" w:cs="Times New Roman"/>
                      <w:color w:val="000000"/>
                    </w:rPr>
                    <w:t>47%</w:t>
                  </w:r>
                </w:p>
              </w:tc>
              <w:tc>
                <w:tcPr>
                  <w:tcW w:w="506" w:type="dxa"/>
                  <w:noWrap/>
                </w:tcPr>
                <w:p>
                  <w:pPr>
                    <w:jc w:val="center"/>
                    <w:rPr>
                      <w:rFonts w:eastAsia="Times New Roman" w:cs="Times New Roman"/>
                      <w:color w:val="000000"/>
                    </w:rPr>
                  </w:pPr>
                  <w:r>
                    <w:rPr>
                      <w:rFonts w:eastAsia="Times New Roman" w:cs="Times New Roman"/>
                      <w:color w:val="000000"/>
                    </w:rPr>
                    <w:t>43%</w:t>
                  </w:r>
                </w:p>
              </w:tc>
              <w:tc>
                <w:tcPr>
                  <w:tcW w:w="544" w:type="dxa"/>
                  <w:noWrap/>
                </w:tcPr>
                <w:p>
                  <w:pPr>
                    <w:jc w:val="center"/>
                    <w:rPr>
                      <w:rFonts w:eastAsia="Times New Roman" w:cs="Times New Roman"/>
                      <w:color w:val="000000"/>
                    </w:rPr>
                  </w:pPr>
                  <w:r>
                    <w:rPr>
                      <w:rFonts w:eastAsia="Times New Roman" w:cs="Times New Roman"/>
                      <w:color w:val="000000"/>
                    </w:rPr>
                    <w:t>38%</w:t>
                  </w:r>
                </w:p>
              </w:tc>
              <w:tc>
                <w:tcPr>
                  <w:tcW w:w="589" w:type="dxa"/>
                  <w:noWrap/>
                </w:tcPr>
                <w:p>
                  <w:pPr>
                    <w:jc w:val="center"/>
                    <w:rPr>
                      <w:rFonts w:eastAsia="Times New Roman" w:cs="Times New Roman"/>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6" w:hRule="atLeast"/>
              </w:trPr>
              <w:tc>
                <w:tcPr>
                  <w:tcW w:w="1093" w:type="dxa"/>
                  <w:shd w:val="clear" w:color="auto" w:fill="F1F1F1" w:themeFill="background1" w:themeFillShade="F2"/>
                  <w:noWrap/>
                </w:tcPr>
                <w:p>
                  <w:pPr>
                    <w:jc w:val="left"/>
                    <w:rPr>
                      <w:rFonts w:eastAsia="Times New Roman" w:cs="Times New Roman"/>
                      <w:b/>
                      <w:bCs/>
                      <w:color w:val="000000"/>
                    </w:rPr>
                  </w:pPr>
                  <w:r>
                    <w:rPr>
                      <w:rFonts w:eastAsia="Times New Roman" w:cs="Times New Roman"/>
                      <w:b/>
                      <w:bCs/>
                      <w:color w:val="000000"/>
                    </w:rPr>
                    <w:t>PHF</w:t>
                  </w:r>
                </w:p>
              </w:tc>
              <w:tc>
                <w:tcPr>
                  <w:tcW w:w="516"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0.88</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774"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0.93</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580"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642"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0.89</w:t>
                  </w:r>
                </w:p>
              </w:tc>
              <w:tc>
                <w:tcPr>
                  <w:tcW w:w="540"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558"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655"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0.84</w:t>
                  </w:r>
                </w:p>
              </w:tc>
              <w:tc>
                <w:tcPr>
                  <w:tcW w:w="506"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0.87</w:t>
                  </w:r>
                </w:p>
              </w:tc>
              <w:tc>
                <w:tcPr>
                  <w:tcW w:w="544"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589" w:type="dxa"/>
                  <w:shd w:val="clear" w:color="auto" w:fill="F1F1F1" w:themeFill="background1" w:themeFillShade="F2"/>
                  <w:noWrap/>
                </w:tcPr>
                <w:p>
                  <w:pPr>
                    <w:jc w:val="center"/>
                    <w:rPr>
                      <w:rFonts w:eastAsia="Times New Roman" w:cs="Times New Roman"/>
                      <w:color w:val="000000"/>
                    </w:rPr>
                  </w:pPr>
                </w:p>
              </w:tc>
            </w:tr>
          </w:tbl>
          <w:p>
            <w:pPr>
              <w:jc w:val="left"/>
              <w:rPr>
                <w:rFonts w:eastAsia="Times New Roman" w:cs="Times New Roman"/>
                <w:b/>
                <w:bCs/>
                <w:color w:val="000000"/>
              </w:rPr>
            </w:pPr>
          </w:p>
        </w:tc>
      </w:tr>
    </w:tbl>
    <w:p>
      <w:pPr>
        <w:sectPr>
          <w:pgSz w:w="12240" w:h="15840"/>
          <w:pgMar w:top="1440" w:right="1440" w:bottom="1354" w:left="1440" w:header="706" w:footer="706" w:gutter="0"/>
          <w:cols w:space="708" w:num="1"/>
          <w:docGrid w:linePitch="360" w:charSpace="0"/>
        </w:sectPr>
      </w:pPr>
    </w:p>
    <w:bookmarkEnd w:id="18"/>
    <w:bookmarkEnd w:id="19"/>
    <w:bookmarkEnd w:id="20"/>
    <w:bookmarkEnd w:id="21"/>
    <w:p>
      <w:pPr>
        <w:pStyle w:val="17"/>
      </w:pPr>
      <w:r>
        <w:rPr>
          <w:lang w:eastAsia="en-US"/>
        </w:rPr>
        <w:fldChar w:fldCharType="begin"/>
      </w:r>
      <w:r>
        <w:rPr>
          <w:lang w:eastAsia="en-US"/>
        </w:rPr>
        <w:instrText xml:space="preserve"> REF _Ref69463807 \h </w:instrText>
      </w:r>
      <w:r>
        <w:rPr>
          <w:lang w:eastAsia="en-US"/>
        </w:rPr>
        <w:fldChar w:fldCharType="separate"/>
      </w:r>
    </w:p>
    <w:p>
      <w:pPr>
        <w:rPr>
          <w:lang w:eastAsia="en-US"/>
        </w:rPr>
      </w:pPr>
      <w:r>
        <w:rPr>
          <w:lang w:eastAsia="en-US"/>
        </w:rPr>
        <w:fldChar w:fldCharType="begin"/>
      </w:r>
      <w:r>
        <w:rPr>
          <w:lang w:eastAsia="en-US"/>
        </w:rPr>
        <w:instrText xml:space="preserve"> REF _Ref100924611 \h </w:instrText>
      </w:r>
      <w:r>
        <w:rPr>
          <w:lang w:eastAsia="en-US"/>
        </w:rPr>
        <w:fldChar w:fldCharType="separate"/>
      </w:r>
      <w:r>
        <w:t>TABLE 1</w:t>
      </w:r>
      <w:r>
        <w:rPr>
          <w:lang w:eastAsia="en-US"/>
        </w:rPr>
        <w:fldChar w:fldCharType="end"/>
      </w:r>
      <w:r>
        <w:rPr>
          <w:lang w:eastAsia="en-US"/>
        </w:rPr>
        <w:t xml:space="preserve"> shows the pre-COVID data on October 2, 2019, from 7:00 to 8:00 A.M. Similar to the COVID data, the data is classified into cars, buses, and trucks. The overall peak hour factor (PHF) of 0.92 provided by SHA was used in all directions. Since the SHA data was presented by approach and not by movement, the authors assumed that the proportion of vehicles turning left, turning right, and proceeding straight for a particular movement remains the same pre-COVID as it was during COVID for each mode though the total number of vehicles varied. </w:t>
      </w:r>
    </w:p>
    <w:p>
      <w:pPr>
        <w:rPr>
          <w:lang w:eastAsia="en-US"/>
        </w:rPr>
      </w:pPr>
    </w:p>
    <w:p>
      <w:pPr>
        <w:rPr>
          <w:lang w:eastAsia="en-US"/>
        </w:rPr>
      </w:pPr>
      <w:r>
        <w:rPr>
          <w:lang w:eastAsia="en-US"/>
        </w:rPr>
        <w:t xml:space="preserve">The pre-COVID data shows that the WB approach has the highest total volume of cars (716) while the NB approach has the lowest volume of cars (165). For trucks, the WB, NB, and SB have the highest volumes of heavy vehicles, 72, 78, 100, respectively. The EB approach has the lowest volume of heavy vehicles with a total of 37. The assumption for the number of buses per hour is one on the EBR and two on the NBL. The existing bus schedule also shows that one bus per hour runs on the EBR and two buses per hour NBL direction.  The number of buses per hour is two on the NBL movement. While the magnitude of the volumes differed in the pre-COVID and COVID cases, in both the WB approach had the largest volume followed by EB, NB, and SB. Traffic volumes changed between the two data sets. </w:t>
      </w:r>
      <w:r>
        <w:rPr>
          <w:lang w:eastAsia="en-US"/>
        </w:rPr>
        <w:fldChar w:fldCharType="begin"/>
      </w:r>
      <w:r>
        <w:rPr>
          <w:lang w:eastAsia="en-US"/>
        </w:rPr>
        <w:instrText xml:space="preserve"> REF _Ref100924611 \h </w:instrText>
      </w:r>
      <w:r>
        <w:rPr>
          <w:lang w:eastAsia="en-US"/>
        </w:rPr>
        <w:fldChar w:fldCharType="separate"/>
      </w:r>
      <w:r>
        <w:t>TABLE 1</w:t>
      </w:r>
      <w:r>
        <w:rPr>
          <w:lang w:eastAsia="en-US"/>
        </w:rPr>
        <w:fldChar w:fldCharType="end"/>
      </w:r>
      <w:r>
        <w:rPr>
          <w:lang w:eastAsia="en-US"/>
        </w:rPr>
        <w:t xml:space="preserve"> shows traffic volumes by the movement for cars, trucks, and buses. As shown in </w:t>
      </w:r>
      <w:r>
        <w:rPr>
          <w:lang w:eastAsia="en-US"/>
        </w:rPr>
        <w:fldChar w:fldCharType="begin"/>
      </w:r>
      <w:r>
        <w:rPr>
          <w:lang w:eastAsia="en-US"/>
        </w:rPr>
        <w:instrText xml:space="preserve"> REF _Ref100924611 \h </w:instrText>
      </w:r>
      <w:r>
        <w:rPr>
          <w:lang w:eastAsia="en-US"/>
        </w:rPr>
        <w:fldChar w:fldCharType="separate"/>
      </w:r>
      <w:r>
        <w:t>TABLE 1</w:t>
      </w:r>
      <w:r>
        <w:rPr>
          <w:lang w:eastAsia="en-US"/>
        </w:rPr>
        <w:fldChar w:fldCharType="end"/>
      </w:r>
      <w:r>
        <w:rPr>
          <w:lang w:eastAsia="en-US"/>
        </w:rPr>
        <w:t xml:space="preserve"> the traffic volume of cars pre-COVID was higher than during COVID. However, for trucks, the volume of trucks increased during COVID. </w:t>
      </w:r>
      <w:r>
        <w:rPr>
          <w:lang w:eastAsia="en-US"/>
        </w:rPr>
        <w:fldChar w:fldCharType="end"/>
      </w:r>
    </w:p>
    <w:p>
      <w:pPr>
        <w:pStyle w:val="4"/>
      </w:pPr>
      <w:r>
        <w:t>MTA Bus Ridership Data</w:t>
      </w:r>
    </w:p>
    <w:p>
      <w:r>
        <w:fldChar w:fldCharType="begin"/>
      </w:r>
      <w:r>
        <w:instrText xml:space="preserve"> REF _Ref69646828 \h </w:instrText>
      </w:r>
      <w:r>
        <w:fldChar w:fldCharType="separate"/>
      </w:r>
      <w:r>
        <w:t>Table 2</w:t>
      </w:r>
      <w:r>
        <w:fldChar w:fldCharType="end"/>
      </w:r>
      <w:r>
        <w:t xml:space="preserve"> provides ridership data for Route 65 for</w:t>
      </w:r>
      <w:r>
        <w:rPr>
          <w:rFonts w:cs="Calibri"/>
          <w:color w:val="000000"/>
          <w:szCs w:val="20"/>
        </w:rPr>
        <w:t xml:space="preserve"> Fall 2017</w:t>
      </w:r>
      <w:r>
        <w:t xml:space="preserve">. The data counts are from onboard Automatic Passenger Counting (APC) system data; it shows average daily weekday and weekend bus stop ridership (boarding, alighting). This ridership data shows bus 65 has a stop located on Holabird Avenue EB by Amazon Fulfilment Center.  </w:t>
      </w:r>
    </w:p>
    <w:p>
      <w:pPr>
        <w:pStyle w:val="17"/>
        <w:rPr>
          <w:rFonts w:eastAsia="Times New Roman" w:cs="Cambria Math"/>
        </w:rPr>
      </w:pPr>
      <w:bookmarkStart w:id="22" w:name="_Ref69646828"/>
      <w:bookmarkStart w:id="23" w:name="_Toc71649638"/>
      <w:r>
        <w:t xml:space="preserve">Table </w:t>
      </w:r>
      <w:r>
        <w:fldChar w:fldCharType="begin"/>
      </w:r>
      <w:r>
        <w:instrText xml:space="preserve">SEQ Table \* ARABIC</w:instrText>
      </w:r>
      <w:r>
        <w:fldChar w:fldCharType="separate"/>
      </w:r>
      <w:r>
        <w:t>2</w:t>
      </w:r>
      <w:r>
        <w:fldChar w:fldCharType="end"/>
      </w:r>
      <w:bookmarkEnd w:id="22"/>
      <w:r>
        <w:t>. MTA Average Daily Ridership for Route 65 in Fall 2017</w:t>
      </w:r>
      <w:bookmarkEnd w:id="23"/>
      <w:r>
        <w:t xml:space="preserve"> and Maximum Load </w:t>
      </w:r>
    </w:p>
    <w:tbl>
      <w:tblPr>
        <w:tblStyle w:val="112"/>
        <w:tblW w:w="936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93"/>
        <w:gridCol w:w="1407"/>
        <w:gridCol w:w="1440"/>
        <w:gridCol w:w="1350"/>
        <w:gridCol w:w="135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440" w:type="dxa"/>
            <w:noWrap/>
            <w:vAlign w:val="bottom"/>
          </w:tcPr>
          <w:p>
            <w:pPr>
              <w:jc w:val="center"/>
              <w:rPr>
                <w:rFonts w:eastAsia="Times New Roman" w:cs="Times New Roman"/>
                <w:b/>
                <w:bCs/>
                <w:color w:val="000000"/>
              </w:rPr>
            </w:pPr>
            <w:r>
              <w:rPr>
                <w:rFonts w:eastAsia="Times New Roman" w:cs="Times New Roman"/>
                <w:b/>
                <w:bCs/>
                <w:color w:val="000000"/>
              </w:rPr>
              <w:t>Service Type</w:t>
            </w:r>
          </w:p>
        </w:tc>
        <w:tc>
          <w:tcPr>
            <w:tcW w:w="1293" w:type="dxa"/>
            <w:noWrap/>
            <w:vAlign w:val="bottom"/>
          </w:tcPr>
          <w:p>
            <w:pPr>
              <w:jc w:val="center"/>
              <w:rPr>
                <w:rFonts w:eastAsia="Times New Roman" w:cs="Times New Roman"/>
                <w:b/>
                <w:bCs/>
                <w:color w:val="000000"/>
              </w:rPr>
            </w:pPr>
            <w:r>
              <w:rPr>
                <w:rFonts w:eastAsia="Times New Roman" w:cs="Times New Roman"/>
                <w:b/>
                <w:bCs/>
                <w:color w:val="000000"/>
              </w:rPr>
              <w:t>Avg. Number of Riders per Trip</w:t>
            </w:r>
          </w:p>
        </w:tc>
        <w:tc>
          <w:tcPr>
            <w:tcW w:w="1407" w:type="dxa"/>
            <w:noWrap/>
            <w:vAlign w:val="bottom"/>
          </w:tcPr>
          <w:p>
            <w:pPr>
              <w:jc w:val="center"/>
              <w:rPr>
                <w:rFonts w:eastAsia="Times New Roman" w:cs="Times New Roman"/>
                <w:b/>
                <w:bCs/>
                <w:color w:val="000000"/>
              </w:rPr>
            </w:pPr>
            <w:r>
              <w:rPr>
                <w:rFonts w:eastAsia="Times New Roman" w:cs="Times New Roman"/>
                <w:b/>
                <w:bCs/>
                <w:color w:val="000000"/>
              </w:rPr>
              <w:t>Sampled Round Trip Revenue Hours</w:t>
            </w:r>
          </w:p>
        </w:tc>
        <w:tc>
          <w:tcPr>
            <w:tcW w:w="1440" w:type="dxa"/>
            <w:noWrap/>
            <w:vAlign w:val="bottom"/>
          </w:tcPr>
          <w:p>
            <w:pPr>
              <w:jc w:val="center"/>
              <w:rPr>
                <w:rFonts w:eastAsia="Times New Roman" w:cs="Times New Roman"/>
                <w:b/>
                <w:bCs/>
                <w:color w:val="000000"/>
              </w:rPr>
            </w:pPr>
            <w:r>
              <w:rPr>
                <w:rFonts w:eastAsia="Times New Roman" w:cs="Times New Roman"/>
                <w:b/>
                <w:bCs/>
                <w:color w:val="000000"/>
              </w:rPr>
              <w:t>Avg. Passenger per Revenue Hour</w:t>
            </w:r>
          </w:p>
        </w:tc>
        <w:tc>
          <w:tcPr>
            <w:tcW w:w="1350" w:type="dxa"/>
            <w:noWrap/>
            <w:vAlign w:val="bottom"/>
          </w:tcPr>
          <w:p>
            <w:pPr>
              <w:jc w:val="center"/>
              <w:rPr>
                <w:rFonts w:eastAsia="Times New Roman" w:cs="Times New Roman"/>
                <w:b/>
                <w:bCs/>
                <w:color w:val="000000"/>
              </w:rPr>
            </w:pPr>
            <w:r>
              <w:rPr>
                <w:rFonts w:eastAsia="Times New Roman" w:cs="Times New Roman"/>
                <w:b/>
                <w:bCs/>
                <w:color w:val="000000"/>
              </w:rPr>
              <w:t>Sampled Riders</w:t>
            </w:r>
          </w:p>
        </w:tc>
        <w:tc>
          <w:tcPr>
            <w:tcW w:w="1350" w:type="dxa"/>
            <w:noWrap/>
            <w:vAlign w:val="bottom"/>
          </w:tcPr>
          <w:p>
            <w:pPr>
              <w:jc w:val="center"/>
              <w:rPr>
                <w:rFonts w:eastAsia="Times New Roman" w:cs="Times New Roman"/>
                <w:b/>
                <w:bCs/>
                <w:color w:val="000000"/>
              </w:rPr>
            </w:pPr>
            <w:r>
              <w:rPr>
                <w:rFonts w:eastAsia="Times New Roman" w:cs="Times New Roman"/>
                <w:b/>
                <w:bCs/>
                <w:color w:val="000000"/>
              </w:rPr>
              <w:t>Average Passengers per Mile</w:t>
            </w:r>
          </w:p>
        </w:tc>
        <w:tc>
          <w:tcPr>
            <w:tcW w:w="1080" w:type="dxa"/>
            <w:noWrap/>
            <w:vAlign w:val="bottom"/>
          </w:tcPr>
          <w:p>
            <w:pPr>
              <w:jc w:val="center"/>
              <w:rPr>
                <w:rFonts w:eastAsia="Times New Roman" w:cs="Times New Roman"/>
                <w:b/>
                <w:bCs/>
                <w:color w:val="000000"/>
              </w:rPr>
            </w:pPr>
            <w:r>
              <w:rPr>
                <w:rFonts w:eastAsia="Times New Roman" w:cs="Times New Roman"/>
                <w:b/>
                <w:bCs/>
                <w:color w:val="000000"/>
              </w:rPr>
              <w:t>Load Factor (% of Seats 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r>
              <w:rPr>
                <w:rFonts w:eastAsia="Times New Roman" w:cs="Times New Roman"/>
                <w:color w:val="000000"/>
              </w:rPr>
              <w:t>WEEKDAY</w:t>
            </w:r>
          </w:p>
        </w:tc>
        <w:tc>
          <w:tcPr>
            <w:tcW w:w="1293" w:type="dxa"/>
            <w:noWrap/>
          </w:tcPr>
          <w:p>
            <w:pPr>
              <w:jc w:val="center"/>
              <w:rPr>
                <w:rFonts w:eastAsia="Times New Roman" w:cs="Times New Roman"/>
                <w:color w:val="000000"/>
              </w:rPr>
            </w:pPr>
            <w:r>
              <w:rPr>
                <w:rFonts w:eastAsia="Times New Roman" w:cs="Times New Roman"/>
                <w:color w:val="000000"/>
              </w:rPr>
              <w:t>20.46</w:t>
            </w:r>
          </w:p>
        </w:tc>
        <w:tc>
          <w:tcPr>
            <w:tcW w:w="1407" w:type="dxa"/>
            <w:noWrap/>
          </w:tcPr>
          <w:p>
            <w:pPr>
              <w:jc w:val="center"/>
              <w:rPr>
                <w:rFonts w:eastAsia="Times New Roman" w:cs="Times New Roman"/>
                <w:color w:val="000000"/>
              </w:rPr>
            </w:pPr>
            <w:r>
              <w:rPr>
                <w:rFonts w:eastAsia="Times New Roman" w:cs="Times New Roman"/>
                <w:color w:val="000000"/>
              </w:rPr>
              <w:t>65.2</w:t>
            </w:r>
          </w:p>
        </w:tc>
        <w:tc>
          <w:tcPr>
            <w:tcW w:w="1440" w:type="dxa"/>
            <w:noWrap/>
          </w:tcPr>
          <w:p>
            <w:pPr>
              <w:jc w:val="center"/>
              <w:rPr>
                <w:rFonts w:eastAsia="Times New Roman" w:cs="Times New Roman"/>
                <w:color w:val="000000"/>
              </w:rPr>
            </w:pPr>
            <w:r>
              <w:rPr>
                <w:rFonts w:eastAsia="Times New Roman" w:cs="Times New Roman"/>
                <w:color w:val="000000"/>
              </w:rPr>
              <w:t>25.4</w:t>
            </w:r>
          </w:p>
        </w:tc>
        <w:tc>
          <w:tcPr>
            <w:tcW w:w="1350" w:type="dxa"/>
            <w:noWrap/>
          </w:tcPr>
          <w:p>
            <w:pPr>
              <w:jc w:val="center"/>
              <w:rPr>
                <w:rFonts w:eastAsia="Times New Roman" w:cs="Times New Roman"/>
                <w:color w:val="000000"/>
              </w:rPr>
            </w:pPr>
            <w:r>
              <w:rPr>
                <w:rFonts w:eastAsia="Times New Roman" w:cs="Times New Roman"/>
                <w:color w:val="000000"/>
              </w:rPr>
              <w:t>744.16</w:t>
            </w:r>
          </w:p>
        </w:tc>
        <w:tc>
          <w:tcPr>
            <w:tcW w:w="1350" w:type="dxa"/>
            <w:noWrap/>
          </w:tcPr>
          <w:p>
            <w:pPr>
              <w:jc w:val="center"/>
              <w:rPr>
                <w:rFonts w:eastAsia="Times New Roman" w:cs="Times New Roman"/>
                <w:color w:val="000000"/>
              </w:rPr>
            </w:pPr>
            <w:r>
              <w:rPr>
                <w:rFonts w:eastAsia="Times New Roman" w:cs="Times New Roman"/>
                <w:color w:val="000000"/>
              </w:rPr>
              <w:t>2.260</w:t>
            </w:r>
          </w:p>
        </w:tc>
        <w:tc>
          <w:tcPr>
            <w:tcW w:w="1080" w:type="dxa"/>
            <w:noWrap/>
          </w:tcPr>
          <w:p>
            <w:pPr>
              <w:jc w:val="center"/>
              <w:rPr>
                <w:rFonts w:eastAsia="Times New Roman" w:cs="Times New Roman"/>
                <w:color w:val="000000"/>
              </w:rPr>
            </w:pPr>
            <w:r>
              <w:rPr>
                <w:rFonts w:eastAsia="Times New Roman" w:cs="Times New Roman"/>
                <w:color w:val="000000"/>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r>
              <w:rPr>
                <w:rFonts w:eastAsia="Times New Roman" w:cs="Times New Roman"/>
                <w:color w:val="000000"/>
              </w:rPr>
              <w:t>SAT</w:t>
            </w:r>
          </w:p>
        </w:tc>
        <w:tc>
          <w:tcPr>
            <w:tcW w:w="1293" w:type="dxa"/>
            <w:noWrap/>
          </w:tcPr>
          <w:p>
            <w:pPr>
              <w:jc w:val="center"/>
              <w:rPr>
                <w:rFonts w:eastAsia="Times New Roman" w:cs="Times New Roman"/>
                <w:color w:val="000000"/>
              </w:rPr>
            </w:pPr>
            <w:r>
              <w:rPr>
                <w:rFonts w:eastAsia="Times New Roman" w:cs="Times New Roman"/>
                <w:color w:val="000000"/>
              </w:rPr>
              <w:t>18.93</w:t>
            </w:r>
          </w:p>
        </w:tc>
        <w:tc>
          <w:tcPr>
            <w:tcW w:w="1407" w:type="dxa"/>
            <w:noWrap/>
          </w:tcPr>
          <w:p>
            <w:pPr>
              <w:jc w:val="center"/>
              <w:rPr>
                <w:rFonts w:eastAsia="Times New Roman" w:cs="Times New Roman"/>
                <w:color w:val="000000"/>
              </w:rPr>
            </w:pPr>
            <w:r>
              <w:rPr>
                <w:rFonts w:eastAsia="Times New Roman" w:cs="Times New Roman"/>
                <w:color w:val="000000"/>
              </w:rPr>
              <w:t>29.9</w:t>
            </w:r>
          </w:p>
        </w:tc>
        <w:tc>
          <w:tcPr>
            <w:tcW w:w="1440" w:type="dxa"/>
            <w:noWrap/>
          </w:tcPr>
          <w:p>
            <w:pPr>
              <w:jc w:val="center"/>
              <w:rPr>
                <w:rFonts w:eastAsia="Times New Roman" w:cs="Times New Roman"/>
                <w:color w:val="000000"/>
              </w:rPr>
            </w:pPr>
            <w:r>
              <w:rPr>
                <w:rFonts w:eastAsia="Times New Roman" w:cs="Times New Roman"/>
                <w:color w:val="000000"/>
              </w:rPr>
              <w:t>23.4</w:t>
            </w:r>
          </w:p>
        </w:tc>
        <w:tc>
          <w:tcPr>
            <w:tcW w:w="1350" w:type="dxa"/>
            <w:noWrap/>
          </w:tcPr>
          <w:p>
            <w:pPr>
              <w:jc w:val="center"/>
              <w:rPr>
                <w:rFonts w:eastAsia="Times New Roman" w:cs="Times New Roman"/>
                <w:color w:val="000000"/>
              </w:rPr>
            </w:pPr>
            <w:r>
              <w:rPr>
                <w:rFonts w:eastAsia="Times New Roman" w:cs="Times New Roman"/>
                <w:color w:val="000000"/>
              </w:rPr>
              <w:t>354.20</w:t>
            </w:r>
          </w:p>
        </w:tc>
        <w:tc>
          <w:tcPr>
            <w:tcW w:w="1350" w:type="dxa"/>
            <w:noWrap/>
          </w:tcPr>
          <w:p>
            <w:pPr>
              <w:jc w:val="center"/>
              <w:rPr>
                <w:rFonts w:eastAsia="Times New Roman" w:cs="Times New Roman"/>
                <w:color w:val="000000"/>
              </w:rPr>
            </w:pPr>
            <w:r>
              <w:rPr>
                <w:rFonts w:eastAsia="Times New Roman" w:cs="Times New Roman"/>
                <w:color w:val="000000"/>
              </w:rPr>
              <w:t>2.063</w:t>
            </w:r>
          </w:p>
        </w:tc>
        <w:tc>
          <w:tcPr>
            <w:tcW w:w="1080" w:type="dxa"/>
            <w:noWrap/>
          </w:tcPr>
          <w:p>
            <w:pPr>
              <w:jc w:val="center"/>
              <w:rPr>
                <w:rFonts w:eastAsia="Times New Roman" w:cs="Times New Roman"/>
                <w:color w:val="000000"/>
              </w:rPr>
            </w:pPr>
            <w:r>
              <w:rPr>
                <w:rFonts w:eastAsia="Times New Roman" w:cs="Times New Roman"/>
                <w:color w:val="000000"/>
              </w:rPr>
              <w:t>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r>
              <w:rPr>
                <w:rFonts w:eastAsia="Times New Roman" w:cs="Times New Roman"/>
                <w:color w:val="000000"/>
              </w:rPr>
              <w:t>SUN</w:t>
            </w:r>
          </w:p>
        </w:tc>
        <w:tc>
          <w:tcPr>
            <w:tcW w:w="1293" w:type="dxa"/>
            <w:noWrap/>
          </w:tcPr>
          <w:p>
            <w:pPr>
              <w:jc w:val="center"/>
              <w:rPr>
                <w:rFonts w:eastAsia="Times New Roman" w:cs="Times New Roman"/>
                <w:color w:val="000000"/>
              </w:rPr>
            </w:pPr>
            <w:r>
              <w:rPr>
                <w:rFonts w:eastAsia="Times New Roman" w:cs="Times New Roman"/>
                <w:color w:val="000000"/>
              </w:rPr>
              <w:t>17.49</w:t>
            </w:r>
          </w:p>
        </w:tc>
        <w:tc>
          <w:tcPr>
            <w:tcW w:w="1407" w:type="dxa"/>
            <w:noWrap/>
          </w:tcPr>
          <w:p>
            <w:pPr>
              <w:jc w:val="center"/>
              <w:rPr>
                <w:rFonts w:eastAsia="Times New Roman" w:cs="Times New Roman"/>
                <w:color w:val="000000"/>
              </w:rPr>
            </w:pPr>
            <w:r>
              <w:rPr>
                <w:rFonts w:eastAsia="Times New Roman" w:cs="Times New Roman"/>
                <w:color w:val="000000"/>
              </w:rPr>
              <w:t>36.7</w:t>
            </w:r>
          </w:p>
        </w:tc>
        <w:tc>
          <w:tcPr>
            <w:tcW w:w="1440" w:type="dxa"/>
            <w:noWrap/>
          </w:tcPr>
          <w:p>
            <w:pPr>
              <w:jc w:val="center"/>
              <w:rPr>
                <w:rFonts w:eastAsia="Times New Roman" w:cs="Times New Roman"/>
                <w:color w:val="000000"/>
              </w:rPr>
            </w:pPr>
            <w:r>
              <w:rPr>
                <w:rFonts w:eastAsia="Times New Roman" w:cs="Times New Roman"/>
                <w:color w:val="000000"/>
              </w:rPr>
              <w:t>31.7</w:t>
            </w:r>
          </w:p>
        </w:tc>
        <w:tc>
          <w:tcPr>
            <w:tcW w:w="1350" w:type="dxa"/>
            <w:noWrap/>
          </w:tcPr>
          <w:p>
            <w:pPr>
              <w:jc w:val="center"/>
              <w:rPr>
                <w:rFonts w:eastAsia="Times New Roman" w:cs="Times New Roman"/>
                <w:color w:val="000000"/>
              </w:rPr>
            </w:pPr>
            <w:r>
              <w:rPr>
                <w:rFonts w:eastAsia="Times New Roman" w:cs="Times New Roman"/>
                <w:color w:val="000000"/>
              </w:rPr>
              <w:t>445.84</w:t>
            </w:r>
          </w:p>
        </w:tc>
        <w:tc>
          <w:tcPr>
            <w:tcW w:w="1350" w:type="dxa"/>
            <w:noWrap/>
          </w:tcPr>
          <w:p>
            <w:pPr>
              <w:jc w:val="center"/>
              <w:rPr>
                <w:rFonts w:eastAsia="Times New Roman" w:cs="Times New Roman"/>
                <w:color w:val="000000"/>
              </w:rPr>
            </w:pPr>
            <w:r>
              <w:rPr>
                <w:rFonts w:eastAsia="Times New Roman" w:cs="Times New Roman"/>
                <w:color w:val="000000"/>
              </w:rPr>
              <w:t>1.943</w:t>
            </w:r>
          </w:p>
        </w:tc>
        <w:tc>
          <w:tcPr>
            <w:tcW w:w="1080" w:type="dxa"/>
            <w:noWrap/>
          </w:tcPr>
          <w:p>
            <w:pPr>
              <w:jc w:val="center"/>
              <w:rPr>
                <w:rFonts w:eastAsia="Times New Roman" w:cs="Times New Roman"/>
                <w:color w:val="000000"/>
              </w:rPr>
            </w:pPr>
            <w:r>
              <w:rPr>
                <w:rFonts w:eastAsia="Times New Roman" w:cs="Times New Roman"/>
                <w:color w:val="000000"/>
              </w:rPr>
              <w:t>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p>
        </w:tc>
        <w:tc>
          <w:tcPr>
            <w:tcW w:w="6840" w:type="dxa"/>
            <w:gridSpan w:val="5"/>
            <w:noWrap/>
          </w:tcPr>
          <w:p>
            <w:pPr>
              <w:rPr>
                <w:rFonts w:eastAsia="Times New Roman" w:cs="Times New Roman"/>
                <w:b/>
                <w:color w:val="000000"/>
              </w:rPr>
            </w:pPr>
            <w:r>
              <w:rPr>
                <w:rFonts w:eastAsia="Calibri" w:cs="Times New Roman"/>
                <w:b/>
                <w:kern w:val="0"/>
                <w:lang w:eastAsia="en-US"/>
              </w:rPr>
              <w:t>Maximum Loads for #65 Stops Serving Holabird Ave and Broening Hwy</w:t>
            </w:r>
          </w:p>
        </w:tc>
        <w:tc>
          <w:tcPr>
            <w:tcW w:w="1080" w:type="dxa"/>
            <w:noWrap/>
          </w:tcPr>
          <w:p>
            <w:pPr>
              <w:jc w:val="center"/>
              <w:rPr>
                <w:rFonts w:eastAsia="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p>
        </w:tc>
        <w:tc>
          <w:tcPr>
            <w:tcW w:w="2700" w:type="dxa"/>
            <w:gridSpan w:val="2"/>
            <w:noWrap/>
          </w:tcPr>
          <w:p>
            <w:pPr>
              <w:jc w:val="center"/>
              <w:rPr>
                <w:rFonts w:eastAsia="Times New Roman" w:cs="Times New Roman"/>
                <w:color w:val="000000"/>
              </w:rPr>
            </w:pPr>
            <w:r>
              <w:rPr>
                <w:rFonts w:eastAsia="Times New Roman" w:cs="Times New Roman"/>
                <w:b/>
                <w:kern w:val="0"/>
                <w:lang w:eastAsia="en-US"/>
              </w:rPr>
              <w:t>Maximum Load [pax]</w:t>
            </w:r>
          </w:p>
        </w:tc>
        <w:tc>
          <w:tcPr>
            <w:tcW w:w="2790" w:type="dxa"/>
            <w:gridSpan w:val="2"/>
            <w:noWrap/>
          </w:tcPr>
          <w:p>
            <w:pPr>
              <w:jc w:val="center"/>
              <w:rPr>
                <w:rFonts w:eastAsia="Times New Roman" w:cs="Times New Roman"/>
                <w:color w:val="000000"/>
              </w:rPr>
            </w:pPr>
            <w:r>
              <w:rPr>
                <w:rFonts w:eastAsia="Times New Roman" w:cs="Times New Roman"/>
                <w:b/>
                <w:kern w:val="0"/>
                <w:lang w:eastAsia="en-US"/>
              </w:rPr>
              <w:t>Value of Time [$/hr]</w:t>
            </w:r>
          </w:p>
        </w:tc>
        <w:tc>
          <w:tcPr>
            <w:tcW w:w="1350" w:type="dxa"/>
            <w:noWrap/>
          </w:tcPr>
          <w:p>
            <w:pPr>
              <w:jc w:val="center"/>
              <w:rPr>
                <w:rFonts w:eastAsia="Times New Roman" w:cs="Times New Roman"/>
                <w:color w:val="000000"/>
              </w:rPr>
            </w:pPr>
          </w:p>
        </w:tc>
        <w:tc>
          <w:tcPr>
            <w:tcW w:w="1080" w:type="dxa"/>
            <w:noWrap/>
          </w:tcPr>
          <w:p>
            <w:pPr>
              <w:jc w:val="center"/>
              <w:rPr>
                <w:rFonts w:eastAsia="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p>
        </w:tc>
        <w:tc>
          <w:tcPr>
            <w:tcW w:w="1293" w:type="dxa"/>
            <w:noWrap/>
          </w:tcPr>
          <w:p>
            <w:pPr>
              <w:jc w:val="center"/>
              <w:rPr>
                <w:rFonts w:eastAsia="Times New Roman" w:cs="Times New Roman"/>
                <w:color w:val="000000"/>
              </w:rPr>
            </w:pPr>
            <w:r>
              <w:rPr>
                <w:rFonts w:eastAsia="Times New Roman" w:cs="Times New Roman"/>
                <w:color w:val="000000"/>
              </w:rPr>
              <w:t>East Bound</w:t>
            </w:r>
          </w:p>
        </w:tc>
        <w:tc>
          <w:tcPr>
            <w:tcW w:w="1407" w:type="dxa"/>
            <w:noWrap/>
          </w:tcPr>
          <w:p>
            <w:pPr>
              <w:jc w:val="center"/>
              <w:rPr>
                <w:rFonts w:eastAsia="Times New Roman" w:cs="Times New Roman"/>
                <w:color w:val="000000"/>
              </w:rPr>
            </w:pPr>
            <w:r>
              <w:rPr>
                <w:rFonts w:eastAsia="Times New Roman" w:cs="Times New Roman"/>
                <w:color w:val="000000"/>
              </w:rPr>
              <w:t>Northbound</w:t>
            </w:r>
          </w:p>
        </w:tc>
        <w:tc>
          <w:tcPr>
            <w:tcW w:w="1440" w:type="dxa"/>
            <w:noWrap/>
          </w:tcPr>
          <w:p>
            <w:pPr>
              <w:jc w:val="center"/>
              <w:rPr>
                <w:rFonts w:eastAsia="Times New Roman" w:cs="Times New Roman"/>
                <w:color w:val="000000"/>
              </w:rPr>
            </w:pPr>
            <w:r>
              <w:rPr>
                <w:rFonts w:eastAsia="Times New Roman" w:cs="Times New Roman"/>
                <w:color w:val="000000"/>
              </w:rPr>
              <w:t>Eastbound</w:t>
            </w:r>
          </w:p>
        </w:tc>
        <w:tc>
          <w:tcPr>
            <w:tcW w:w="1350" w:type="dxa"/>
            <w:noWrap/>
          </w:tcPr>
          <w:p>
            <w:pPr>
              <w:jc w:val="center"/>
              <w:rPr>
                <w:rFonts w:eastAsia="Times New Roman" w:cs="Times New Roman"/>
                <w:color w:val="000000"/>
              </w:rPr>
            </w:pPr>
            <w:r>
              <w:rPr>
                <w:rFonts w:eastAsia="Times New Roman" w:cs="Times New Roman"/>
                <w:color w:val="000000"/>
              </w:rPr>
              <w:t>Northbound</w:t>
            </w:r>
          </w:p>
        </w:tc>
        <w:tc>
          <w:tcPr>
            <w:tcW w:w="1350" w:type="dxa"/>
            <w:noWrap/>
          </w:tcPr>
          <w:p>
            <w:pPr>
              <w:jc w:val="center"/>
              <w:rPr>
                <w:rFonts w:eastAsia="Times New Roman" w:cs="Times New Roman"/>
                <w:color w:val="000000"/>
              </w:rPr>
            </w:pPr>
          </w:p>
        </w:tc>
        <w:tc>
          <w:tcPr>
            <w:tcW w:w="1080" w:type="dxa"/>
            <w:noWrap/>
          </w:tcPr>
          <w:p>
            <w:pPr>
              <w:jc w:val="center"/>
              <w:rPr>
                <w:rFonts w:eastAsia="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rPr>
                <w:rFonts w:eastAsia="Times New Roman" w:cs="Times New Roman"/>
                <w:color w:val="000000"/>
              </w:rPr>
            </w:pPr>
            <w:r>
              <w:rPr>
                <w:rFonts w:eastAsia="Times New Roman" w:cs="Times New Roman"/>
                <w:color w:val="000000"/>
              </w:rPr>
              <w:t>Pre-COVID (Feb 2020)</w:t>
            </w:r>
          </w:p>
        </w:tc>
        <w:tc>
          <w:tcPr>
            <w:tcW w:w="1293" w:type="dxa"/>
            <w:noWrap/>
          </w:tcPr>
          <w:p>
            <w:pPr>
              <w:jc w:val="center"/>
              <w:rPr>
                <w:rFonts w:eastAsia="Times New Roman" w:cs="Times New Roman"/>
                <w:color w:val="000000"/>
              </w:rPr>
            </w:pPr>
            <w:r>
              <w:rPr>
                <w:rFonts w:eastAsia="Times New Roman" w:cs="Times New Roman"/>
                <w:color w:val="000000"/>
              </w:rPr>
              <w:t>26</w:t>
            </w:r>
          </w:p>
        </w:tc>
        <w:tc>
          <w:tcPr>
            <w:tcW w:w="1407" w:type="dxa"/>
            <w:noWrap/>
          </w:tcPr>
          <w:p>
            <w:pPr>
              <w:jc w:val="center"/>
              <w:rPr>
                <w:rFonts w:eastAsia="Times New Roman" w:cs="Times New Roman"/>
                <w:color w:val="000000"/>
              </w:rPr>
            </w:pPr>
            <w:r>
              <w:rPr>
                <w:rFonts w:eastAsia="Times New Roman" w:cs="Times New Roman"/>
                <w:color w:val="000000"/>
              </w:rPr>
              <w:t>35</w:t>
            </w:r>
          </w:p>
        </w:tc>
        <w:tc>
          <w:tcPr>
            <w:tcW w:w="1440" w:type="dxa"/>
            <w:noWrap/>
          </w:tcPr>
          <w:p>
            <w:pPr>
              <w:jc w:val="center"/>
              <w:rPr>
                <w:rFonts w:eastAsia="Times New Roman" w:cs="Times New Roman"/>
                <w:color w:val="000000"/>
              </w:rPr>
            </w:pPr>
            <w:r>
              <w:rPr>
                <w:rFonts w:eastAsia="Times New Roman" w:cs="Times New Roman"/>
                <w:kern w:val="0"/>
                <w:lang w:eastAsia="en-US"/>
              </w:rPr>
              <w:t>$292.61</w:t>
            </w:r>
          </w:p>
        </w:tc>
        <w:tc>
          <w:tcPr>
            <w:tcW w:w="1350" w:type="dxa"/>
            <w:noWrap/>
          </w:tcPr>
          <w:p>
            <w:pPr>
              <w:jc w:val="center"/>
              <w:rPr>
                <w:rFonts w:eastAsia="Times New Roman" w:cs="Times New Roman"/>
                <w:color w:val="000000"/>
              </w:rPr>
            </w:pPr>
            <w:r>
              <w:rPr>
                <w:rFonts w:eastAsia="Times New Roman" w:cs="Times New Roman"/>
                <w:kern w:val="0"/>
                <w:lang w:eastAsia="en-US"/>
              </w:rPr>
              <w:t>$382.34</w:t>
            </w:r>
          </w:p>
        </w:tc>
        <w:tc>
          <w:tcPr>
            <w:tcW w:w="1350" w:type="dxa"/>
            <w:noWrap/>
          </w:tcPr>
          <w:p>
            <w:pPr>
              <w:jc w:val="center"/>
              <w:rPr>
                <w:rFonts w:eastAsia="Times New Roman" w:cs="Times New Roman"/>
                <w:color w:val="000000"/>
              </w:rPr>
            </w:pPr>
          </w:p>
        </w:tc>
        <w:tc>
          <w:tcPr>
            <w:tcW w:w="1080" w:type="dxa"/>
            <w:noWrap/>
          </w:tcPr>
          <w:p>
            <w:pPr>
              <w:jc w:val="center"/>
              <w:rPr>
                <w:rFonts w:eastAsia="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r>
              <w:rPr>
                <w:rFonts w:eastAsia="Times New Roman" w:cs="Times New Roman"/>
                <w:color w:val="000000"/>
              </w:rPr>
              <w:t>COVID (Oct 2020)</w:t>
            </w:r>
          </w:p>
        </w:tc>
        <w:tc>
          <w:tcPr>
            <w:tcW w:w="1293" w:type="dxa"/>
            <w:noWrap/>
          </w:tcPr>
          <w:p>
            <w:pPr>
              <w:jc w:val="center"/>
              <w:rPr>
                <w:rFonts w:eastAsia="Times New Roman" w:cs="Times New Roman"/>
                <w:color w:val="000000"/>
              </w:rPr>
            </w:pPr>
            <w:r>
              <w:rPr>
                <w:rFonts w:eastAsia="Times New Roman" w:cs="Times New Roman"/>
                <w:color w:val="000000"/>
              </w:rPr>
              <w:t>21</w:t>
            </w:r>
          </w:p>
        </w:tc>
        <w:tc>
          <w:tcPr>
            <w:tcW w:w="1407" w:type="dxa"/>
            <w:noWrap/>
          </w:tcPr>
          <w:p>
            <w:pPr>
              <w:jc w:val="center"/>
              <w:rPr>
                <w:rFonts w:eastAsia="Times New Roman" w:cs="Times New Roman"/>
                <w:color w:val="000000"/>
              </w:rPr>
            </w:pPr>
            <w:r>
              <w:rPr>
                <w:rFonts w:eastAsia="Times New Roman" w:cs="Times New Roman"/>
                <w:color w:val="000000"/>
              </w:rPr>
              <w:t>29</w:t>
            </w:r>
          </w:p>
        </w:tc>
        <w:tc>
          <w:tcPr>
            <w:tcW w:w="1440" w:type="dxa"/>
            <w:noWrap/>
          </w:tcPr>
          <w:p>
            <w:pPr>
              <w:jc w:val="center"/>
              <w:rPr>
                <w:rFonts w:eastAsia="Times New Roman" w:cs="Times New Roman"/>
                <w:color w:val="000000"/>
              </w:rPr>
            </w:pPr>
            <w:r>
              <w:rPr>
                <w:rFonts w:eastAsia="Times New Roman" w:cs="Times New Roman"/>
                <w:kern w:val="0"/>
                <w:lang w:eastAsia="en-US"/>
              </w:rPr>
              <w:t>$242.76</w:t>
            </w:r>
          </w:p>
        </w:tc>
        <w:tc>
          <w:tcPr>
            <w:tcW w:w="1350" w:type="dxa"/>
            <w:noWrap/>
          </w:tcPr>
          <w:p>
            <w:pPr>
              <w:jc w:val="center"/>
              <w:rPr>
                <w:rFonts w:eastAsia="Times New Roman" w:cs="Times New Roman"/>
                <w:color w:val="000000"/>
              </w:rPr>
            </w:pPr>
            <w:r>
              <w:rPr>
                <w:rFonts w:eastAsia="Times New Roman" w:cs="Times New Roman"/>
                <w:kern w:val="0"/>
                <w:lang w:eastAsia="en-US"/>
              </w:rPr>
              <w:t>$322.52</w:t>
            </w:r>
          </w:p>
        </w:tc>
        <w:tc>
          <w:tcPr>
            <w:tcW w:w="1350" w:type="dxa"/>
            <w:noWrap/>
          </w:tcPr>
          <w:p>
            <w:pPr>
              <w:jc w:val="center"/>
              <w:rPr>
                <w:rFonts w:eastAsia="Times New Roman" w:cs="Times New Roman"/>
                <w:color w:val="000000"/>
              </w:rPr>
            </w:pPr>
          </w:p>
        </w:tc>
        <w:tc>
          <w:tcPr>
            <w:tcW w:w="1080" w:type="dxa"/>
            <w:noWrap/>
          </w:tcPr>
          <w:p>
            <w:pPr>
              <w:jc w:val="center"/>
              <w:rPr>
                <w:rFonts w:eastAsia="Times New Roman" w:cs="Times New Roman"/>
                <w:color w:val="000000"/>
              </w:rPr>
            </w:pPr>
          </w:p>
        </w:tc>
      </w:tr>
    </w:tbl>
    <w:p>
      <w:pPr>
        <w:rPr>
          <w:lang w:eastAsia="en-US"/>
        </w:rPr>
      </w:pPr>
    </w:p>
    <w:p>
      <w:pPr>
        <w:rPr>
          <w:lang w:eastAsia="en-US"/>
        </w:rPr>
      </w:pPr>
      <w:r>
        <w:rPr>
          <w:lang w:eastAsia="en-US"/>
        </w:rPr>
        <w:t xml:space="preserve">A Freedom of Information Act (FOIA) request was conducted to obtain ridership data for the MTA transit system for February 2020 (pre-COVID) and October 2020 (COVID). Since we are analyzing the morning peak period, the maximum load is used for the analysis. The maximum load data was provided at the stop level, while this may slightly overestimate the number of bus riders, the 2017 average weekday ridership numbers shown in </w:t>
      </w:r>
      <w:r>
        <w:fldChar w:fldCharType="begin"/>
      </w:r>
      <w:r>
        <w:instrText xml:space="preserve"> REF _Ref69646828 \h </w:instrText>
      </w:r>
      <w:r>
        <w:fldChar w:fldCharType="separate"/>
      </w:r>
      <w:r>
        <w:t>Table 2</w:t>
      </w:r>
      <w:r>
        <w:fldChar w:fldCharType="end"/>
      </w:r>
      <w:r>
        <w:t xml:space="preserve"> </w:t>
      </w:r>
      <w:r>
        <w:rPr>
          <w:lang w:eastAsia="en-US"/>
        </w:rPr>
        <w:t xml:space="preserve">provide further evidence that the numbers provided in </w:t>
      </w:r>
      <w:r>
        <w:fldChar w:fldCharType="begin"/>
      </w:r>
      <w:r>
        <w:instrText xml:space="preserve"> REF _Ref69646828 \h </w:instrText>
      </w:r>
      <w:r>
        <w:fldChar w:fldCharType="separate"/>
      </w:r>
      <w:r>
        <w:t>Table 2</w:t>
      </w:r>
      <w:r>
        <w:fldChar w:fldCharType="end"/>
      </w:r>
      <w:r>
        <w:rPr>
          <w:lang w:eastAsia="en-US"/>
        </w:rPr>
        <w:t xml:space="preserve"> are realistic for the weekday morning peak.</w:t>
      </w:r>
    </w:p>
    <w:p>
      <w:pPr>
        <w:pStyle w:val="50"/>
        <w:spacing w:line="240" w:lineRule="auto"/>
        <w:ind w:firstLine="0"/>
        <w:rPr>
          <w:rFonts w:ascii="Times New Roman" w:hAnsi="Times New Roman" w:cs="Times New Roman"/>
          <w:sz w:val="24"/>
        </w:rPr>
      </w:pPr>
    </w:p>
    <w:p>
      <w:pPr>
        <w:pStyle w:val="4"/>
      </w:pPr>
      <w:r>
        <w:t>Emission Cost</w:t>
      </w:r>
    </w:p>
    <w:p>
      <w:r>
        <w:t>SYNCHRO provides three measures of tailpipe emissions: carbon monoxide (CO), nitrogen oxides (NOx), and volatile oxygen compounds (VOC) in units of grams based on fuel consumption which is a function of speed, vehicle miles traveled, and the number of stops. Given fuel consumption (</w:t>
      </w:r>
      <m:oMath>
        <m:r>
          <m:rPr/>
          <w:rPr>
            <w:rFonts w:ascii="Cambria Math" w:hAnsi="Cambria Math"/>
          </w:rPr>
          <m:t>F</m:t>
        </m:r>
      </m:oMath>
      <w:r>
        <w:t>) in gallons, the amount of CO, NOx, and VOC, respectively, is given as:</w:t>
      </w:r>
    </w:p>
    <w:p/>
    <w:tbl>
      <w:tblPr>
        <w:tblStyle w:val="5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20"/>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20" w:type="dxa"/>
            <w:vAlign w:val="center"/>
          </w:tcPr>
          <w:p>
            <w:pPr>
              <w:ind w:left="960" w:hanging="240"/>
              <w:jc w:val="center"/>
              <w:rPr>
                <w:rFonts w:eastAsia="Times New Roman" w:cs="Times New Roman"/>
              </w:rPr>
            </w:pPr>
            <w:r>
              <w:rPr>
                <w:rFonts w:cs="Times New Roman" w:eastAsiaTheme="minorHAnsi"/>
              </w:rPr>
              <w:t>CO= F x 69.9g/gal</w:t>
            </w:r>
          </w:p>
        </w:tc>
        <w:tc>
          <w:tcPr>
            <w:tcW w:w="1216" w:type="dxa"/>
            <w:vAlign w:val="center"/>
          </w:tcPr>
          <w:p>
            <w:pPr>
              <w:ind w:left="960" w:hanging="240"/>
              <w:jc w:val="center"/>
              <w:rPr>
                <w:rFonts w:eastAsia="Times New Roman" w:cs="Times New Roman"/>
              </w:rPr>
            </w:pPr>
            <w:r>
              <w:rPr>
                <w:rFonts w:eastAsia="Times New Roman" w:cs="Times New Roman"/>
              </w:rPr>
              <w:t>(</w:t>
            </w:r>
            <w:r>
              <w:rPr>
                <w:rFonts w:eastAsia="Times New Roman" w:cstheme="minorBidi"/>
              </w:rPr>
              <w:fldChar w:fldCharType="begin"/>
            </w:r>
            <w:r>
              <w:rPr>
                <w:rFonts w:eastAsia="Times New Roman" w:cs="Times New Roman"/>
              </w:rPr>
              <w:instrText xml:space="preserve"> SEQ Eq \* MERGEFORMAT </w:instrText>
            </w:r>
            <w:r>
              <w:rPr>
                <w:rFonts w:eastAsia="Times New Roman" w:cstheme="minorBidi"/>
              </w:rPr>
              <w:fldChar w:fldCharType="separate"/>
            </w:r>
            <w:r>
              <w:rPr>
                <w:rFonts w:eastAsia="Times New Roman" w:cs="Times New Roman"/>
              </w:rPr>
              <w:t>7</w:t>
            </w:r>
            <w:r>
              <w:rPr>
                <w:rFonts w:eastAsia="Times New Roman" w:cstheme="minorBidi"/>
              </w:rPr>
              <w:fldChar w:fldCharType="end"/>
            </w:r>
            <w:r>
              <w:rPr>
                <w:rFonts w:eastAsia="Times New Roman" w:cs="Times New Roma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20" w:type="dxa"/>
            <w:vAlign w:val="center"/>
          </w:tcPr>
          <w:p>
            <w:pPr>
              <w:ind w:left="960" w:hanging="240"/>
              <w:jc w:val="center"/>
              <w:rPr>
                <w:rFonts w:cs="Times New Roman" w:eastAsiaTheme="minorHAnsi"/>
              </w:rPr>
            </w:pPr>
            <w:r>
              <w:rPr>
                <w:rFonts w:cs="Times New Roman" w:eastAsiaTheme="minorHAnsi"/>
              </w:rPr>
              <w:t>NOx= F x 13.6 g/gal</w:t>
            </w:r>
          </w:p>
        </w:tc>
        <w:tc>
          <w:tcPr>
            <w:tcW w:w="1216" w:type="dxa"/>
            <w:vAlign w:val="center"/>
          </w:tcPr>
          <w:p>
            <w:pPr>
              <w:ind w:left="960" w:hanging="240"/>
              <w:jc w:val="center"/>
              <w:rPr>
                <w:rFonts w:eastAsia="Times New Roman" w:cs="Times New Roman"/>
              </w:rPr>
            </w:pPr>
            <w:r>
              <w:rPr>
                <w:rFonts w:eastAsia="Times New Roman" w:cs="Times New Roman"/>
              </w:rPr>
              <w:t>(</w:t>
            </w:r>
            <w:r>
              <w:rPr>
                <w:rFonts w:eastAsia="Times New Roman" w:cstheme="minorBidi"/>
              </w:rPr>
              <w:fldChar w:fldCharType="begin"/>
            </w:r>
            <w:r>
              <w:rPr>
                <w:rFonts w:eastAsia="Times New Roman" w:cs="Times New Roman"/>
              </w:rPr>
              <w:instrText xml:space="preserve"> SEQ Eq \* MERGEFORMAT </w:instrText>
            </w:r>
            <w:r>
              <w:rPr>
                <w:rFonts w:eastAsia="Times New Roman" w:cstheme="minorBidi"/>
              </w:rPr>
              <w:fldChar w:fldCharType="separate"/>
            </w:r>
            <w:r>
              <w:rPr>
                <w:rFonts w:eastAsia="Times New Roman" w:cs="Times New Roman"/>
              </w:rPr>
              <w:t>8</w:t>
            </w:r>
            <w:r>
              <w:rPr>
                <w:rFonts w:eastAsia="Times New Roman" w:cstheme="minorBidi"/>
              </w:rPr>
              <w:fldChar w:fldCharType="end"/>
            </w:r>
            <w:r>
              <w:rPr>
                <w:rFonts w:eastAsia="Times New Roman" w:cs="Times New Roma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20" w:type="dxa"/>
            <w:vAlign w:val="center"/>
          </w:tcPr>
          <w:p>
            <w:pPr>
              <w:ind w:left="960" w:hanging="240"/>
              <w:jc w:val="center"/>
              <w:rPr>
                <w:rFonts w:cs="Times New Roman" w:eastAsiaTheme="minorHAnsi"/>
              </w:rPr>
            </w:pPr>
            <w:r>
              <w:rPr>
                <w:rFonts w:cs="Times New Roman" w:eastAsiaTheme="minorHAnsi"/>
              </w:rPr>
              <w:t>VOC=F x 16.2 g/gal</w:t>
            </w:r>
          </w:p>
        </w:tc>
        <w:tc>
          <w:tcPr>
            <w:tcW w:w="1216" w:type="dxa"/>
            <w:vAlign w:val="center"/>
          </w:tcPr>
          <w:p>
            <w:pPr>
              <w:ind w:left="960" w:hanging="240"/>
              <w:jc w:val="center"/>
              <w:rPr>
                <w:rFonts w:eastAsia="Times New Roman" w:cs="Times New Roman"/>
              </w:rPr>
            </w:pPr>
            <w:r>
              <w:rPr>
                <w:rFonts w:eastAsia="Times New Roman" w:cs="Times New Roman"/>
              </w:rPr>
              <w:t>(</w:t>
            </w:r>
            <w:r>
              <w:rPr>
                <w:rFonts w:eastAsia="Times New Roman" w:cstheme="minorBidi"/>
              </w:rPr>
              <w:fldChar w:fldCharType="begin"/>
            </w:r>
            <w:r>
              <w:rPr>
                <w:rFonts w:eastAsia="Times New Roman" w:cs="Times New Roman"/>
              </w:rPr>
              <w:instrText xml:space="preserve"> SEQ Eq \* MERGEFORMAT </w:instrText>
            </w:r>
            <w:r>
              <w:rPr>
                <w:rFonts w:eastAsia="Times New Roman" w:cstheme="minorBidi"/>
              </w:rPr>
              <w:fldChar w:fldCharType="separate"/>
            </w:r>
            <w:r>
              <w:rPr>
                <w:rFonts w:eastAsia="Times New Roman" w:cs="Times New Roman"/>
              </w:rPr>
              <w:t>9</w:t>
            </w:r>
            <w:r>
              <w:rPr>
                <w:rFonts w:eastAsia="Times New Roman" w:cstheme="minorBidi"/>
              </w:rPr>
              <w:fldChar w:fldCharType="end"/>
            </w:r>
            <w:r>
              <w:rPr>
                <w:rFonts w:eastAsia="Times New Roman" w:cs="Times New Roman"/>
              </w:rPr>
              <w:t>)</w:t>
            </w:r>
          </w:p>
        </w:tc>
      </w:tr>
    </w:tbl>
    <w:p>
      <w:pPr>
        <w:pStyle w:val="50"/>
        <w:ind w:firstLine="0"/>
        <w:rPr>
          <w:b/>
        </w:rPr>
      </w:pPr>
      <w:r>
        <w:t>(DelDOT,</w:t>
      </w:r>
      <w:r>
        <w:rPr>
          <w:b/>
        </w:rPr>
        <w:t xml:space="preserve"> </w:t>
      </w:r>
      <w:r>
        <w:rPr>
          <w:b/>
        </w:rPr>
        <w:fldChar w:fldCharType="begin"/>
      </w:r>
      <w:r>
        <w:rPr>
          <w:b/>
        </w:rPr>
        <w:instrText xml:space="preserve"> ADDIN ZOTERO_ITEM CSL_CITATION {"citationID":"afksolv6","properties":{"formattedCitation":"(2014)","plainCitation":"(2014)","noteIndex":0},"citationItems":[{"id":161,"uris":["http://zotero.org/users/6622193/items/IALTBTXT"],"uri":["http://zotero.org/users/6622193/items/IALTBTXT"],"itemData":{"id":161,"type":"speech","title":"Estimating Vehicle Emissions in Signalized Networks with Synchro/SimTraffic","author":[{"family":"DelDot","given":""}],"issued":{"date-parts":[["2014"]]}},"suppress-author":true}],"schema":"https://github.com/citation-style-language/schema/raw/master/csl-citation.json"} </w:instrText>
      </w:r>
      <w:r>
        <w:rPr>
          <w:b/>
        </w:rPr>
        <w:fldChar w:fldCharType="separate"/>
      </w:r>
      <w:r>
        <w:t>2014)</w:t>
      </w:r>
      <w:r>
        <w:rPr>
          <w:b/>
        </w:rPr>
        <w:fldChar w:fldCharType="end"/>
      </w:r>
      <w:r>
        <w:rPr>
          <w:vertAlign w:val="superscript"/>
        </w:rPr>
        <w:t xml:space="preserve"> </w:t>
      </w:r>
      <w:r>
        <w:rPr>
          <w:vertAlign w:val="superscript"/>
        </w:rPr>
        <w:fldChar w:fldCharType="begin"/>
      </w:r>
      <w:r>
        <w:rPr>
          <w:vertAlign w:val="superscript"/>
        </w:rPr>
        <w:instrText xml:space="preserve"> ADDIN ZOTERO_ITEM CSL_CITATION {"citationID":"PvaG9QHP","properties":{"formattedCitation":"(Liu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vertAlign w:val="superscript"/>
        </w:rPr>
        <w:fldChar w:fldCharType="separate"/>
      </w:r>
      <w:r>
        <w:rPr>
          <w:vertAlign w:val="superscript"/>
        </w:rPr>
        <w:t>[5]</w:t>
      </w:r>
      <w:r>
        <w:rPr>
          <w:vertAlign w:val="superscript"/>
        </w:rPr>
        <w:fldChar w:fldCharType="end"/>
      </w:r>
      <w:r>
        <w:rPr>
          <w:b/>
        </w:rPr>
        <w:t xml:space="preserve"> .</w:t>
      </w:r>
    </w:p>
    <w:p>
      <w:pPr>
        <w:pStyle w:val="50"/>
        <w:spacing w:line="240" w:lineRule="auto"/>
        <w:ind w:firstLine="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REF _Ref78310258 \h  \* MERGEFORMAT </w:instrText>
      </w:r>
      <w:r>
        <w:rPr>
          <w:rFonts w:ascii="Times New Roman" w:hAnsi="Times New Roman" w:cs="Times New Roman"/>
          <w:sz w:val="24"/>
        </w:rPr>
        <w:fldChar w:fldCharType="separate"/>
      </w:r>
      <w:r>
        <w:rPr>
          <w:rFonts w:ascii="Times New Roman" w:hAnsi="Times New Roman" w:eastAsia="Calibri" w:cs="Times New Roman"/>
          <w:bCs/>
          <w:sz w:val="24"/>
        </w:rPr>
        <w:t>TABLE</w:t>
      </w:r>
      <w:r>
        <w:rPr>
          <w:rFonts w:ascii="Times New Roman" w:hAnsi="Times New Roman" w:eastAsia="Calibri" w:cs="Times New Roman"/>
          <w:b/>
          <w:bCs/>
          <w:sz w:val="24"/>
        </w:rPr>
        <w:t xml:space="preserve"> </w:t>
      </w:r>
      <w:r>
        <w:rPr>
          <w:rFonts w:ascii="Times New Roman" w:hAnsi="Times New Roman" w:eastAsia="Calibri" w:cs="Times New Roman"/>
          <w:bCs/>
          <w:sz w:val="24"/>
        </w:rPr>
        <w:t>3</w:t>
      </w:r>
      <w:r>
        <w:rPr>
          <w:rFonts w:ascii="Times New Roman" w:hAnsi="Times New Roman" w:cs="Times New Roman"/>
          <w:sz w:val="24"/>
        </w:rPr>
        <w:fldChar w:fldCharType="end"/>
      </w:r>
      <w:r>
        <w:rPr>
          <w:rFonts w:ascii="Times New Roman" w:hAnsi="Times New Roman" w:cs="Times New Roman"/>
          <w:sz w:val="24"/>
        </w:rPr>
        <w:t xml:space="preserve"> illustrates the estimated cost of emissions developed in past studies. The cost estimates in </w:t>
      </w:r>
      <w:r>
        <w:rPr>
          <w:rFonts w:ascii="Times New Roman" w:hAnsi="Times New Roman" w:cs="Times New Roman"/>
          <w:sz w:val="24"/>
        </w:rPr>
        <w:fldChar w:fldCharType="begin"/>
      </w:r>
      <w:r>
        <w:rPr>
          <w:rFonts w:ascii="Times New Roman" w:hAnsi="Times New Roman" w:cs="Times New Roman"/>
          <w:sz w:val="24"/>
        </w:rPr>
        <w:instrText xml:space="preserve"> REF _Ref78310258 \h  \* MERGEFORMAT </w:instrText>
      </w:r>
      <w:r>
        <w:rPr>
          <w:rFonts w:ascii="Times New Roman" w:hAnsi="Times New Roman" w:cs="Times New Roman"/>
          <w:sz w:val="24"/>
        </w:rPr>
        <w:fldChar w:fldCharType="separate"/>
      </w:r>
      <w:r>
        <w:rPr>
          <w:rFonts w:ascii="Times New Roman" w:hAnsi="Times New Roman" w:eastAsia="Calibri" w:cs="Times New Roman"/>
          <w:bCs/>
          <w:sz w:val="24"/>
        </w:rPr>
        <w:t>TABLE</w:t>
      </w:r>
      <w:r>
        <w:rPr>
          <w:rFonts w:ascii="Times New Roman" w:hAnsi="Times New Roman" w:eastAsia="Calibri" w:cs="Times New Roman"/>
          <w:b/>
          <w:bCs/>
          <w:sz w:val="24"/>
        </w:rPr>
        <w:t xml:space="preserve"> </w:t>
      </w:r>
      <w:r>
        <w:rPr>
          <w:rFonts w:ascii="Times New Roman" w:hAnsi="Times New Roman" w:eastAsia="Calibri" w:cs="Times New Roman"/>
          <w:bCs/>
          <w:sz w:val="24"/>
        </w:rPr>
        <w:t>3</w:t>
      </w:r>
      <w:r>
        <w:rPr>
          <w:rFonts w:ascii="Times New Roman" w:hAnsi="Times New Roman" w:cs="Times New Roman"/>
          <w:sz w:val="24"/>
        </w:rPr>
        <w:fldChar w:fldCharType="end"/>
      </w:r>
      <w:r>
        <w:rPr>
          <w:rFonts w:ascii="Times New Roman" w:hAnsi="Times New Roman" w:cs="Times New Roman"/>
          <w:sz w:val="24"/>
        </w:rPr>
        <w:t xml:space="preserve"> were adjusted to 2020 dollars using the United States Bureau of Labor Statistics Inflation Calculator</w:t>
      </w:r>
      <w:r>
        <w:rPr>
          <w:rStyle w:val="60"/>
          <w:rFonts w:ascii="Times New Roman" w:hAnsi="Times New Roman" w:cs="Times New Roman"/>
          <w:sz w:val="24"/>
        </w:rPr>
        <w:footnoteReference w:id="0"/>
      </w:r>
      <w:r>
        <w:rPr>
          <w:rFonts w:ascii="Times New Roman" w:hAnsi="Times New Roman" w:cs="Times New Roman"/>
          <w:sz w:val="24"/>
        </w:rPr>
        <w:t xml:space="preserve">. Additionally, tons were converted to kg use the conversion that 1 ton = 907.185 kg. Thus for this study, we assume that the value of emissions for carbon monoxide, </w:t>
      </w:r>
      <m:oMath>
        <m:r>
          <m:rPr/>
          <w:rPr>
            <w:rFonts w:ascii="Cambria Math" w:hAnsi="Cambria Math" w:cs="Times New Roman"/>
            <w:sz w:val="24"/>
          </w:rPr>
          <m:t>VO</m:t>
        </m:r>
        <m:sSub>
          <m:sSubPr>
            <m:ctrlPr>
              <w:rPr>
                <w:rFonts w:ascii="Cambria Math" w:hAnsi="Cambria Math" w:cs="Times New Roman"/>
                <w:i/>
                <w:sz w:val="24"/>
              </w:rPr>
            </m:ctrlPr>
          </m:sSubPr>
          <m:e>
            <m:r>
              <m:rPr/>
              <w:rPr>
                <w:rFonts w:ascii="Cambria Math" w:hAnsi="Cambria Math" w:cs="Times New Roman"/>
                <w:sz w:val="24"/>
              </w:rPr>
              <m:t>E</m:t>
            </m:r>
            <m:ctrlPr>
              <w:rPr>
                <w:rFonts w:ascii="Cambria Math" w:hAnsi="Cambria Math" w:cs="Times New Roman"/>
                <w:i/>
                <w:sz w:val="24"/>
              </w:rPr>
            </m:ctrlPr>
          </m:e>
          <m:sub>
            <m:r>
              <m:rPr/>
              <w:rPr>
                <w:rFonts w:ascii="Cambria Math" w:hAnsi="Cambria Math" w:cs="Times New Roman"/>
                <w:sz w:val="24"/>
              </w:rPr>
              <m:t>CO</m:t>
            </m:r>
            <m:ctrlPr>
              <w:rPr>
                <w:rFonts w:ascii="Cambria Math" w:hAnsi="Cambria Math" w:cs="Times New Roman"/>
                <w:i/>
                <w:sz w:val="24"/>
              </w:rPr>
            </m:ctrlPr>
          </m:sub>
        </m:sSub>
      </m:oMath>
      <w:r>
        <w:rPr>
          <w:rFonts w:ascii="Times New Roman" w:hAnsi="Times New Roman" w:cs="Times New Roman"/>
          <w:sz w:val="24"/>
        </w:rPr>
        <w:t xml:space="preserve">, is $5.85/kg, the value of VOCs, </w:t>
      </w:r>
      <m:oMath>
        <m:r>
          <m:rPr/>
          <w:rPr>
            <w:rFonts w:ascii="Cambria Math" w:hAnsi="Cambria Math" w:cs="Times New Roman"/>
            <w:sz w:val="24"/>
          </w:rPr>
          <m:t>VO</m:t>
        </m:r>
        <m:sSub>
          <m:sSubPr>
            <m:ctrlPr>
              <w:rPr>
                <w:rFonts w:ascii="Cambria Math" w:hAnsi="Cambria Math" w:cs="Times New Roman"/>
                <w:i/>
                <w:sz w:val="24"/>
              </w:rPr>
            </m:ctrlPr>
          </m:sSubPr>
          <m:e>
            <m:r>
              <m:rPr/>
              <w:rPr>
                <w:rFonts w:ascii="Cambria Math" w:hAnsi="Cambria Math" w:cs="Times New Roman"/>
                <w:sz w:val="24"/>
              </w:rPr>
              <m:t>E</m:t>
            </m:r>
            <m:ctrlPr>
              <w:rPr>
                <w:rFonts w:ascii="Cambria Math" w:hAnsi="Cambria Math" w:cs="Times New Roman"/>
                <w:i/>
                <w:sz w:val="24"/>
              </w:rPr>
            </m:ctrlPr>
          </m:e>
          <m:sub>
            <m:r>
              <m:rPr/>
              <w:rPr>
                <w:rFonts w:ascii="Cambria Math" w:hAnsi="Cambria Math" w:cs="Times New Roman"/>
                <w:sz w:val="24"/>
              </w:rPr>
              <m:t>VOC</m:t>
            </m:r>
            <m:ctrlPr>
              <w:rPr>
                <w:rFonts w:ascii="Cambria Math" w:hAnsi="Cambria Math" w:cs="Times New Roman"/>
                <w:i/>
                <w:sz w:val="24"/>
              </w:rPr>
            </m:ctrlPr>
          </m:sub>
        </m:sSub>
      </m:oMath>
      <w:r>
        <w:rPr>
          <w:rFonts w:ascii="Times New Roman" w:hAnsi="Times New Roman" w:cs="Times New Roman"/>
          <w:sz w:val="24"/>
        </w:rPr>
        <w:t xml:space="preserve">, is $3.36/kg, and the value of NOx, </w:t>
      </w:r>
      <m:oMath>
        <m:sSub>
          <m:sSubPr>
            <m:ctrlPr>
              <w:rPr>
                <w:rFonts w:ascii="Cambria Math" w:hAnsi="Cambria Math" w:cs="Times New Roman"/>
                <w:i/>
                <w:sz w:val="24"/>
              </w:rPr>
            </m:ctrlPr>
          </m:sSubPr>
          <m:e>
            <m:r>
              <m:rPr/>
              <w:rPr>
                <w:rFonts w:ascii="Cambria Math" w:hAnsi="Cambria Math" w:cs="Times New Roman"/>
                <w:sz w:val="24"/>
              </w:rPr>
              <m:t>VOE</m:t>
            </m:r>
            <m:ctrlPr>
              <w:rPr>
                <w:rFonts w:ascii="Cambria Math" w:hAnsi="Cambria Math" w:cs="Times New Roman"/>
                <w:i/>
                <w:sz w:val="24"/>
              </w:rPr>
            </m:ctrlPr>
          </m:e>
          <m:sub>
            <m:r>
              <m:rPr/>
              <w:rPr>
                <w:rFonts w:ascii="Cambria Math" w:hAnsi="Cambria Math" w:cs="Times New Roman"/>
                <w:sz w:val="24"/>
              </w:rPr>
              <m:t>NOx</m:t>
            </m:r>
            <m:ctrlPr>
              <w:rPr>
                <w:rFonts w:ascii="Cambria Math" w:hAnsi="Cambria Math" w:cs="Times New Roman"/>
                <w:i/>
                <w:sz w:val="24"/>
              </w:rPr>
            </m:ctrlPr>
          </m:sub>
        </m:sSub>
      </m:oMath>
      <w:r>
        <w:rPr>
          <w:rFonts w:ascii="Times New Roman" w:hAnsi="Times New Roman" w:cs="Times New Roman"/>
          <w:sz w:val="24"/>
        </w:rPr>
        <w:t>, is averaged to $12.53/kg.</w:t>
      </w:r>
    </w:p>
    <w:p>
      <w:pPr>
        <w:keepNext/>
        <w:widowControl/>
        <w:rPr>
          <w:rFonts w:ascii="Lucida Bright" w:hAnsi="Lucida Bright" w:eastAsia="Calibri" w:cs="Courier New"/>
          <w:b/>
          <w:bCs/>
          <w:kern w:val="0"/>
          <w:sz w:val="20"/>
          <w:lang w:eastAsia="en-US"/>
        </w:rPr>
      </w:pPr>
      <w:bookmarkStart w:id="24" w:name="_Ref69766504"/>
      <w:bookmarkStart w:id="25" w:name="_Toc71649643"/>
    </w:p>
    <w:p>
      <w:pPr>
        <w:keepNext/>
        <w:widowControl/>
        <w:rPr>
          <w:rFonts w:ascii="Lucida Bright" w:hAnsi="Lucida Bright" w:eastAsia="Calibri" w:cs="Courier New"/>
          <w:b/>
          <w:bCs/>
          <w:kern w:val="0"/>
          <w:sz w:val="20"/>
          <w:lang w:eastAsia="en-US"/>
        </w:rPr>
      </w:pPr>
      <w:bookmarkStart w:id="26" w:name="_Ref78310258"/>
      <w:r>
        <w:rPr>
          <w:rFonts w:ascii="Lucida Bright" w:hAnsi="Lucida Bright" w:eastAsia="Calibri" w:cs="Courier New"/>
          <w:b/>
          <w:bCs/>
          <w:kern w:val="0"/>
          <w:sz w:val="20"/>
          <w:lang w:eastAsia="en-US"/>
        </w:rPr>
        <w:t xml:space="preserve">TABLE </w:t>
      </w:r>
      <w:r>
        <w:rPr>
          <w:rFonts w:ascii="Lucida Bright" w:hAnsi="Lucida Bright" w:eastAsia="Calibri" w:cs="Courier New"/>
          <w:b/>
          <w:bCs/>
          <w:kern w:val="0"/>
          <w:sz w:val="20"/>
          <w:lang w:eastAsia="en-US"/>
        </w:rPr>
        <w:fldChar w:fldCharType="begin"/>
      </w:r>
      <w:r>
        <w:rPr>
          <w:rFonts w:ascii="Lucida Bright" w:hAnsi="Lucida Bright" w:eastAsia="Calibri" w:cs="Courier New"/>
          <w:b/>
          <w:bCs/>
          <w:kern w:val="0"/>
          <w:sz w:val="20"/>
          <w:lang w:eastAsia="en-US"/>
        </w:rPr>
        <w:instrText xml:space="preserve"> SEQ Table \* ARABIC </w:instrText>
      </w:r>
      <w:r>
        <w:rPr>
          <w:rFonts w:ascii="Lucida Bright" w:hAnsi="Lucida Bright" w:eastAsia="Calibri" w:cs="Courier New"/>
          <w:b/>
          <w:bCs/>
          <w:kern w:val="0"/>
          <w:sz w:val="20"/>
          <w:lang w:eastAsia="en-US"/>
        </w:rPr>
        <w:fldChar w:fldCharType="separate"/>
      </w:r>
      <w:r>
        <w:rPr>
          <w:rFonts w:ascii="Lucida Bright" w:hAnsi="Lucida Bright" w:eastAsia="Calibri" w:cs="Courier New"/>
          <w:b/>
          <w:bCs/>
          <w:kern w:val="0"/>
          <w:sz w:val="20"/>
          <w:lang w:eastAsia="en-US"/>
        </w:rPr>
        <w:t>3</w:t>
      </w:r>
      <w:r>
        <w:rPr>
          <w:rFonts w:ascii="Lucida Bright" w:hAnsi="Lucida Bright" w:eastAsia="Calibri" w:cs="Courier New"/>
          <w:b/>
          <w:bCs/>
          <w:kern w:val="0"/>
          <w:sz w:val="20"/>
          <w:lang w:eastAsia="en-US"/>
        </w:rPr>
        <w:fldChar w:fldCharType="end"/>
      </w:r>
      <w:bookmarkEnd w:id="24"/>
      <w:bookmarkEnd w:id="26"/>
      <w:r>
        <w:rPr>
          <w:rFonts w:ascii="Lucida Bright" w:hAnsi="Lucida Bright" w:eastAsia="Calibri" w:cs="Courier New"/>
          <w:b/>
          <w:bCs/>
          <w:kern w:val="0"/>
          <w:sz w:val="20"/>
          <w:lang w:eastAsia="en-US"/>
        </w:rPr>
        <w:t xml:space="preserve">. Value of Emissions Estimates (Victoria Transport Policy Institute </w:t>
      </w:r>
      <w:r>
        <w:rPr>
          <w:rFonts w:ascii="Lucida Bright" w:hAnsi="Lucida Bright" w:eastAsia="Calibri" w:cs="Courier New"/>
          <w:b/>
          <w:bCs/>
          <w:kern w:val="0"/>
          <w:sz w:val="20"/>
          <w:lang w:eastAsia="en-US"/>
        </w:rPr>
        <w:fldChar w:fldCharType="begin"/>
      </w:r>
      <w:r>
        <w:rPr>
          <w:rFonts w:ascii="Lucida Bright" w:hAnsi="Lucida Bright" w:eastAsia="Calibri" w:cs="Courier New"/>
          <w:b/>
          <w:bCs/>
          <w:kern w:val="0"/>
          <w:sz w:val="20"/>
          <w:lang w:eastAsia="en-US"/>
        </w:rPr>
        <w:instrText xml:space="preserve"> ADDIN ZOTERO_ITEM CSL_CITATION {"citationID":"AKKIiTGZ","properties":{"formattedCitation":"(2011)","plainCitation":"(2011)","noteIndex":0},"citationItems":[{"id":143,"uris":["http://zotero.org/users/6622193/items/GX5D4XWL"],"uri":["http://zotero.org/users/6622193/items/GX5D4XWL"],"itemData":{"id":143,"type":"report","publisher":"Victoria Transport Policy Institute","title":"Transportation Cost and Benefit Analysis II – Air Pollution Costs","author":[{"family":"Victoria Transport Policy Institute","given":""}],"issued":{"date-parts":[["2011",3,16]]}},"suppress-author":true}],"schema":"https://github.com/citation-style-language/schema/raw/master/csl-citation.json"} </w:instrText>
      </w:r>
      <w:r>
        <w:rPr>
          <w:rFonts w:ascii="Lucida Bright" w:hAnsi="Lucida Bright" w:eastAsia="Calibri" w:cs="Courier New"/>
          <w:b/>
          <w:bCs/>
          <w:kern w:val="0"/>
          <w:sz w:val="20"/>
          <w:lang w:eastAsia="en-US"/>
        </w:rPr>
        <w:fldChar w:fldCharType="separate"/>
      </w:r>
      <w:r>
        <w:rPr>
          <w:rFonts w:ascii="Lucida Bright" w:hAnsi="Lucida Bright" w:eastAsia="Calibri" w:cs="Courier New"/>
          <w:b/>
          <w:bCs/>
          <w:kern w:val="0"/>
          <w:sz w:val="20"/>
          <w:lang w:eastAsia="en-US"/>
        </w:rPr>
        <w:t>(2011)</w:t>
      </w:r>
      <w:bookmarkEnd w:id="25"/>
      <w:r>
        <w:rPr>
          <w:rFonts w:ascii="Lucida Bright" w:hAnsi="Lucida Bright" w:eastAsia="Calibri" w:cs="Courier New"/>
          <w:b/>
          <w:bCs/>
          <w:kern w:val="0"/>
          <w:sz w:val="20"/>
          <w:lang w:eastAsia="en-US"/>
        </w:rPr>
        <w:fldChar w:fldCharType="end"/>
      </w:r>
      <w:r>
        <w:rPr>
          <w:rFonts w:ascii="Lucida Bright" w:hAnsi="Lucida Bright" w:eastAsia="Calibri" w:cs="Courier New"/>
          <w:b/>
          <w:bCs/>
          <w:kern w:val="0"/>
          <w:sz w:val="20"/>
          <w:lang w:eastAsia="en-US"/>
        </w:rPr>
        <w:t xml:space="preserve"> </w:t>
      </w:r>
      <w:r>
        <w:rPr>
          <w:lang w:eastAsia="en-US"/>
        </w:rPr>
        <w:fldChar w:fldCharType="begin"/>
      </w:r>
      <w:r>
        <w:rPr>
          <w:lang w:eastAsia="en-US"/>
        </w:rPr>
        <w:instrText xml:space="preserve"> ADDIN ZOTERO_ITEM CSL_CITATION {"citationID":"PvaG9QHP","properties":{"formattedCitation":"(Liu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lang w:eastAsia="en-US"/>
        </w:rPr>
        <w:fldChar w:fldCharType="separate"/>
      </w:r>
      <w:r>
        <w:rPr>
          <w:lang w:eastAsia="en-US"/>
        </w:rPr>
        <w:t>(6)</w:t>
      </w:r>
      <w:r>
        <w:rPr>
          <w:lang w:eastAsia="en-US"/>
        </w:rPr>
        <w:fldChar w:fldCharType="end"/>
      </w:r>
    </w:p>
    <w:p>
      <w:pPr>
        <w:keepNext/>
        <w:widowControl/>
        <w:rPr>
          <w:rFonts w:ascii="Lucida Bright" w:hAnsi="Lucida Bright" w:eastAsia="Calibri" w:cs="Courier New"/>
          <w:b/>
          <w:bCs/>
          <w:kern w:val="0"/>
          <w:sz w:val="20"/>
          <w:lang w:eastAsia="en-US"/>
        </w:rPr>
      </w:pPr>
    </w:p>
    <w:tbl>
      <w:tblPr>
        <w:tblStyle w:val="1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223"/>
        <w:gridCol w:w="2157"/>
        <w:gridCol w:w="1227"/>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vAlign w:val="center"/>
          </w:tcPr>
          <w:p>
            <w:pPr>
              <w:widowControl/>
              <w:jc w:val="left"/>
              <w:rPr>
                <w:rFonts w:eastAsia="Calibri" w:cs="Times New Roman"/>
                <w:kern w:val="0"/>
                <w:szCs w:val="22"/>
                <w:lang w:eastAsia="en-US"/>
              </w:rPr>
            </w:pPr>
            <w:r>
              <w:rPr>
                <w:rFonts w:eastAsia="Calibri" w:cs="Times New Roman"/>
                <w:kern w:val="0"/>
                <w:szCs w:val="22"/>
                <w:lang w:eastAsia="en-US"/>
              </w:rPr>
              <w:t>Publication</w:t>
            </w:r>
          </w:p>
        </w:tc>
        <w:tc>
          <w:tcPr>
            <w:tcW w:w="1223" w:type="dxa"/>
            <w:vAlign w:val="center"/>
          </w:tcPr>
          <w:p>
            <w:pPr>
              <w:widowControl/>
              <w:jc w:val="left"/>
              <w:rPr>
                <w:rFonts w:eastAsia="Calibri" w:cs="Times New Roman"/>
                <w:kern w:val="0"/>
                <w:szCs w:val="22"/>
                <w:lang w:eastAsia="en-US"/>
              </w:rPr>
            </w:pPr>
            <w:r>
              <w:rPr>
                <w:rFonts w:eastAsia="Calibri" w:cs="Times New Roman"/>
                <w:kern w:val="0"/>
                <w:szCs w:val="22"/>
                <w:lang w:eastAsia="en-US"/>
              </w:rPr>
              <w:t>Costs</w:t>
            </w:r>
          </w:p>
        </w:tc>
        <w:tc>
          <w:tcPr>
            <w:tcW w:w="2157" w:type="dxa"/>
            <w:vAlign w:val="center"/>
          </w:tcPr>
          <w:p>
            <w:pPr>
              <w:widowControl/>
              <w:jc w:val="left"/>
              <w:rPr>
                <w:rFonts w:eastAsia="Calibri" w:cs="Times New Roman"/>
                <w:kern w:val="0"/>
                <w:szCs w:val="22"/>
                <w:lang w:eastAsia="en-US"/>
              </w:rPr>
            </w:pPr>
            <w:r>
              <w:rPr>
                <w:rFonts w:eastAsia="Calibri" w:cs="Times New Roman"/>
                <w:kern w:val="0"/>
                <w:szCs w:val="22"/>
                <w:lang w:eastAsia="en-US"/>
              </w:rPr>
              <w:t>Cost Value</w:t>
            </w:r>
          </w:p>
        </w:tc>
        <w:tc>
          <w:tcPr>
            <w:tcW w:w="1227" w:type="dxa"/>
          </w:tcPr>
          <w:p>
            <w:pPr>
              <w:widowControl/>
              <w:rPr>
                <w:rFonts w:eastAsia="Calibri" w:cs="Times New Roman"/>
                <w:kern w:val="0"/>
                <w:szCs w:val="22"/>
                <w:lang w:eastAsia="en-US"/>
              </w:rPr>
            </w:pPr>
            <w:r>
              <w:rPr>
                <w:rFonts w:eastAsia="Calibri" w:cs="Times New Roman"/>
                <w:kern w:val="0"/>
                <w:szCs w:val="22"/>
                <w:lang w:eastAsia="en-US"/>
              </w:rPr>
              <w:t>2020 USD/ton</w:t>
            </w:r>
          </w:p>
        </w:tc>
        <w:tc>
          <w:tcPr>
            <w:tcW w:w="1153" w:type="dxa"/>
          </w:tcPr>
          <w:p>
            <w:pPr>
              <w:widowControl/>
              <w:rPr>
                <w:rFonts w:eastAsia="Calibri" w:cs="Times New Roman"/>
                <w:kern w:val="0"/>
                <w:szCs w:val="22"/>
                <w:lang w:eastAsia="en-US"/>
              </w:rPr>
            </w:pPr>
            <w:r>
              <w:rPr>
                <w:rFonts w:eastAsia="Calibri" w:cs="Times New Roman"/>
                <w:kern w:val="0"/>
                <w:szCs w:val="22"/>
                <w:lang w:eastAsia="en-US"/>
              </w:rPr>
              <w:t>2020 USD/kg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vMerge w:val="restart"/>
            <w:vAlign w:val="center"/>
          </w:tcPr>
          <w:p>
            <w:pPr>
              <w:widowControl/>
              <w:jc w:val="left"/>
              <w:rPr>
                <w:rFonts w:eastAsia="Calibri" w:cs="Times New Roman"/>
                <w:kern w:val="0"/>
                <w:szCs w:val="22"/>
                <w:lang w:eastAsia="en-US"/>
              </w:rPr>
            </w:pPr>
            <w:r>
              <w:rPr>
                <w:rFonts w:eastAsia="Calibri" w:cs="Times New Roman"/>
                <w:kern w:val="0"/>
                <w:szCs w:val="22"/>
                <w:lang w:eastAsia="en-US"/>
              </w:rPr>
              <w:t xml:space="preserve">AEA Technology Environment </w:t>
            </w:r>
            <w:r>
              <w:rPr>
                <w:rFonts w:eastAsia="Calibri" w:cs="Arial"/>
                <w:kern w:val="0"/>
                <w:szCs w:val="22"/>
                <w:lang w:eastAsia="en-US"/>
              </w:rPr>
              <w:fldChar w:fldCharType="begin"/>
            </w:r>
            <w:r>
              <w:rPr>
                <w:rFonts w:eastAsia="Calibri" w:cs="Times New Roman"/>
                <w:kern w:val="0"/>
                <w:szCs w:val="22"/>
                <w:lang w:eastAsia="en-US"/>
              </w:rPr>
              <w:instrText xml:space="preserve"> ADDIN ZOTERO_ITEM CSL_CITATION {"citationID":"0ZBr4qhd","properties":{"formattedCitation":"(2005)","plainCitation":"(2005)","noteIndex":0},"citationItems":[{"id":157,"uris":["http://zotero.org/users/6622193/items/YUBHJ9IT"],"uri":["http://zotero.org/users/6622193/items/YUBHJ9IT"],"itemData":{"id":157,"type":"report","title":"Damages per tonne emission of PM2.5, NH3, SO2, NOx and VOCs from each EU25 Member State (excluding Cyprus) and surrounding seas","author":[{"family":"AEA Technology Environment","given":""}],"issued":{"date-parts":[["2005",3]]}},"suppress-author":true}],"schema":"https://github.com/citation-style-language/schema/raw/master/csl-citation.json"} </w:instrText>
            </w:r>
            <w:r>
              <w:rPr>
                <w:rFonts w:eastAsia="Calibri" w:cs="Arial"/>
                <w:kern w:val="0"/>
                <w:szCs w:val="22"/>
                <w:lang w:eastAsia="en-US"/>
              </w:rPr>
              <w:fldChar w:fldCharType="separate"/>
            </w:r>
            <w:r>
              <w:rPr>
                <w:rFonts w:eastAsia="Calibri" w:cs="Times New Roman"/>
                <w:kern w:val="0"/>
                <w:szCs w:val="22"/>
                <w:lang w:eastAsia="en-US"/>
              </w:rPr>
              <w:t>(2005)</w:t>
            </w:r>
            <w:r>
              <w:rPr>
                <w:rFonts w:eastAsia="Calibri" w:cs="Arial"/>
                <w:kern w:val="0"/>
                <w:szCs w:val="22"/>
                <w:lang w:eastAsia="en-US"/>
              </w:rPr>
              <w:fldChar w:fldCharType="end"/>
            </w:r>
            <w:r>
              <w:rPr>
                <w:rFonts w:eastAsia="Calibri" w:cs="Arial"/>
                <w:lang w:eastAsia="en-US"/>
              </w:rPr>
              <w:t xml:space="preserve"> </w:t>
            </w:r>
            <w:r>
              <w:rPr>
                <w:rFonts w:eastAsia="Calibri" w:cs="Arial"/>
                <w:lang w:eastAsia="en-US"/>
              </w:rPr>
              <w:fldChar w:fldCharType="begin"/>
            </w:r>
            <w:r>
              <w:rPr>
                <w:rFonts w:eastAsia="Calibri" w:cs="Arial"/>
                <w:lang w:eastAsia="en-US"/>
              </w:rPr>
              <w:instrText xml:space="preserve"> ADDIN ZOTERO_ITEM CSL_CITATION {"citationID":"PvaG9QHP","properties":{"formattedCitation":"(Liu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rFonts w:eastAsia="Calibri" w:cs="Arial"/>
                <w:lang w:eastAsia="en-US"/>
              </w:rPr>
              <w:fldChar w:fldCharType="separate"/>
            </w:r>
            <w:r>
              <w:rPr>
                <w:rFonts w:eastAsia="Calibri" w:cs="Arial"/>
                <w:lang w:eastAsia="en-US"/>
              </w:rPr>
              <w:t>(7)</w:t>
            </w:r>
            <w:r>
              <w:rPr>
                <w:rFonts w:eastAsia="Calibri" w:cs="Arial"/>
                <w:lang w:eastAsia="en-US"/>
              </w:rPr>
              <w:fldChar w:fldCharType="end"/>
            </w:r>
          </w:p>
        </w:tc>
        <w:tc>
          <w:tcPr>
            <w:tcW w:w="1223" w:type="dxa"/>
          </w:tcPr>
          <w:p>
            <w:pPr>
              <w:widowControl/>
              <w:rPr>
                <w:rFonts w:eastAsia="Calibri" w:cs="Times New Roman"/>
                <w:kern w:val="0"/>
                <w:szCs w:val="22"/>
                <w:lang w:eastAsia="en-US"/>
              </w:rPr>
            </w:pPr>
            <w:r>
              <w:rPr>
                <w:rFonts w:eastAsia="Calibri" w:cs="Times New Roman"/>
                <w:kern w:val="0"/>
                <w:szCs w:val="22"/>
                <w:lang w:eastAsia="en-US"/>
              </w:rPr>
              <w:t>NOx</w:t>
            </w:r>
          </w:p>
        </w:tc>
        <w:tc>
          <w:tcPr>
            <w:tcW w:w="2157" w:type="dxa"/>
          </w:tcPr>
          <w:p>
            <w:pPr>
              <w:widowControl/>
              <w:jc w:val="right"/>
              <w:rPr>
                <w:rFonts w:eastAsia="Calibri" w:cs="Times New Roman"/>
                <w:kern w:val="0"/>
                <w:szCs w:val="22"/>
                <w:lang w:eastAsia="en-US"/>
              </w:rPr>
            </w:pPr>
            <w:r>
              <w:rPr>
                <w:rFonts w:eastAsia="Calibri" w:cs="Times New Roman"/>
                <w:kern w:val="0"/>
                <w:szCs w:val="22"/>
                <w:lang w:eastAsia="en-US"/>
              </w:rPr>
              <w:t>2005 €19,7750</w:t>
            </w:r>
          </w:p>
        </w:tc>
        <w:tc>
          <w:tcPr>
            <w:tcW w:w="1227" w:type="dxa"/>
          </w:tcPr>
          <w:p>
            <w:pPr>
              <w:widowControl/>
              <w:jc w:val="right"/>
              <w:rPr>
                <w:rFonts w:eastAsia="Calibri" w:cs="Times New Roman"/>
                <w:kern w:val="0"/>
                <w:szCs w:val="22"/>
                <w:lang w:eastAsia="en-US"/>
              </w:rPr>
            </w:pPr>
            <w:r>
              <w:rPr>
                <w:rFonts w:eastAsia="Calibri" w:cs="Times New Roman"/>
                <w:kern w:val="0"/>
                <w:szCs w:val="22"/>
                <w:lang w:eastAsia="en-US"/>
              </w:rPr>
              <w:t>$13,293</w:t>
            </w:r>
          </w:p>
        </w:tc>
        <w:tc>
          <w:tcPr>
            <w:tcW w:w="1153" w:type="dxa"/>
          </w:tcPr>
          <w:p>
            <w:pPr>
              <w:widowControl/>
              <w:jc w:val="right"/>
              <w:rPr>
                <w:rFonts w:eastAsia="Calibri" w:cs="Times New Roman"/>
                <w:kern w:val="0"/>
                <w:szCs w:val="22"/>
                <w:lang w:eastAsia="en-US"/>
              </w:rPr>
            </w:pPr>
            <w:r>
              <w:rPr>
                <w:rFonts w:eastAsia="Calibri" w:cs="Times New Roman"/>
                <w:kern w:val="0"/>
                <w:szCs w:val="22"/>
                <w:lang w:eastAsia="en-US"/>
              </w:rPr>
              <w:t>$14.65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vMerge w:val="continue"/>
            <w:vAlign w:val="center"/>
          </w:tcPr>
          <w:p>
            <w:pPr>
              <w:widowControl/>
              <w:jc w:val="left"/>
              <w:rPr>
                <w:rFonts w:eastAsia="Calibri" w:cs="Times New Roman"/>
                <w:kern w:val="0"/>
                <w:szCs w:val="22"/>
                <w:lang w:eastAsia="en-US"/>
              </w:rPr>
            </w:pPr>
          </w:p>
        </w:tc>
        <w:tc>
          <w:tcPr>
            <w:tcW w:w="1223" w:type="dxa"/>
          </w:tcPr>
          <w:p>
            <w:pPr>
              <w:widowControl/>
              <w:rPr>
                <w:rFonts w:eastAsia="Calibri" w:cs="Times New Roman"/>
                <w:kern w:val="0"/>
                <w:szCs w:val="22"/>
                <w:lang w:eastAsia="en-US"/>
              </w:rPr>
            </w:pPr>
            <w:r>
              <w:rPr>
                <w:rFonts w:eastAsia="Calibri" w:cs="Times New Roman"/>
                <w:kern w:val="0"/>
                <w:szCs w:val="22"/>
                <w:lang w:eastAsia="en-US"/>
              </w:rPr>
              <w:t>VOCs</w:t>
            </w:r>
          </w:p>
        </w:tc>
        <w:tc>
          <w:tcPr>
            <w:tcW w:w="2157" w:type="dxa"/>
          </w:tcPr>
          <w:p>
            <w:pPr>
              <w:widowControl/>
              <w:jc w:val="right"/>
              <w:rPr>
                <w:rFonts w:eastAsia="Calibri" w:cs="Times New Roman"/>
                <w:kern w:val="0"/>
                <w:szCs w:val="22"/>
                <w:lang w:eastAsia="en-US"/>
              </w:rPr>
            </w:pPr>
            <w:r>
              <w:rPr>
                <w:rFonts w:eastAsia="Calibri" w:cs="Times New Roman"/>
                <w:kern w:val="0"/>
                <w:szCs w:val="22"/>
                <w:lang w:eastAsia="en-US"/>
              </w:rPr>
              <w:t>€1,813</w:t>
            </w:r>
          </w:p>
        </w:tc>
        <w:tc>
          <w:tcPr>
            <w:tcW w:w="1227" w:type="dxa"/>
          </w:tcPr>
          <w:p>
            <w:pPr>
              <w:widowControl/>
              <w:jc w:val="right"/>
              <w:rPr>
                <w:rFonts w:eastAsia="Calibri" w:cs="Times New Roman"/>
                <w:kern w:val="0"/>
                <w:szCs w:val="22"/>
                <w:lang w:eastAsia="en-US"/>
              </w:rPr>
            </w:pPr>
            <w:r>
              <w:rPr>
                <w:rFonts w:eastAsia="Calibri" w:cs="Times New Roman"/>
                <w:kern w:val="0"/>
                <w:szCs w:val="22"/>
                <w:lang w:eastAsia="en-US"/>
              </w:rPr>
              <w:t>$3,049</w:t>
            </w:r>
          </w:p>
        </w:tc>
        <w:tc>
          <w:tcPr>
            <w:tcW w:w="1153" w:type="dxa"/>
          </w:tcPr>
          <w:p>
            <w:pPr>
              <w:widowControl/>
              <w:jc w:val="right"/>
              <w:rPr>
                <w:rFonts w:eastAsia="Calibri" w:cs="Times New Roman"/>
                <w:kern w:val="0"/>
                <w:szCs w:val="22"/>
                <w:lang w:eastAsia="en-US"/>
              </w:rPr>
            </w:pPr>
            <w:r>
              <w:rPr>
                <w:rFonts w:eastAsia="Calibri" w:cs="Times New Roman"/>
                <w:kern w:val="0"/>
                <w:szCs w:val="22"/>
                <w:lang w:eastAsia="en-US"/>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vMerge w:val="restart"/>
            <w:vAlign w:val="center"/>
          </w:tcPr>
          <w:p>
            <w:pPr>
              <w:widowControl/>
              <w:jc w:val="left"/>
              <w:rPr>
                <w:rFonts w:eastAsia="Calibri" w:cs="Times New Roman"/>
                <w:kern w:val="0"/>
                <w:szCs w:val="22"/>
                <w:lang w:eastAsia="en-US"/>
              </w:rPr>
            </w:pPr>
            <w:r>
              <w:rPr>
                <w:rFonts w:eastAsia="Calibri" w:cs="Times New Roman"/>
                <w:kern w:val="0"/>
                <w:szCs w:val="22"/>
                <w:lang w:eastAsia="en-US"/>
              </w:rPr>
              <w:t xml:space="preserve">Wang et al. </w:t>
            </w:r>
            <w:r>
              <w:rPr>
                <w:rFonts w:eastAsia="Calibri" w:cs="Arial"/>
                <w:kern w:val="0"/>
                <w:szCs w:val="22"/>
                <w:lang w:eastAsia="en-US"/>
              </w:rPr>
              <w:fldChar w:fldCharType="begin"/>
            </w:r>
            <w:r>
              <w:rPr>
                <w:rFonts w:eastAsia="Calibri" w:cs="Times New Roman"/>
                <w:kern w:val="0"/>
                <w:szCs w:val="22"/>
                <w:lang w:eastAsia="en-US"/>
              </w:rPr>
              <w:instrText xml:space="preserve"> ADDIN ZOTERO_ITEM CSL_CITATION {"citationID":"IY5BSehX","properties":{"formattedCitation":"(1994)","plainCitation":"(1994)","noteIndex":0},"citationItems":[{"id":148,"uris":["http://zotero.org/users/6622193/items/2S4EVQCH"],"uri":["http://zotero.org/users/6622193/items/2S4EVQCH"],"itemData":{"id":148,"type":"report","abstract":"The U.S. Department of Energy's Office of Scientific and Technical Information","language":"English","note":"DOI: 10.2172/10114725","number":"ANL/ESD-26","publisher":"Argonne National Lab., IL (United States). Center for Transportation Research","source":"www.osti.gov","title":"Methods of valuing air pollution and estimated monetary values of air pollutants in various U.S. regions","URL":"https://www.osti.gov/biblio/10114725","author":[{"family":"Wang","given":"M. Q."},{"family":"Santini","given":"D. J."},{"family":"Warinner","given":"S. A."}],"accessed":{"date-parts":[["2021",4,20]]},"issued":{"date-parts":[["1994",12,1]]}},"suppress-author":true}],"schema":"https://github.com/citation-style-language/schema/raw/master/csl-citation.json"} </w:instrText>
            </w:r>
            <w:r>
              <w:rPr>
                <w:rFonts w:eastAsia="Calibri" w:cs="Arial"/>
                <w:kern w:val="0"/>
                <w:szCs w:val="22"/>
                <w:lang w:eastAsia="en-US"/>
              </w:rPr>
              <w:fldChar w:fldCharType="separate"/>
            </w:r>
            <w:r>
              <w:rPr>
                <w:rFonts w:eastAsia="Calibri" w:cs="Times New Roman"/>
                <w:kern w:val="0"/>
                <w:szCs w:val="22"/>
                <w:lang w:eastAsia="en-US"/>
              </w:rPr>
              <w:t>(1994)</w:t>
            </w:r>
            <w:r>
              <w:rPr>
                <w:rFonts w:eastAsia="Calibri" w:cs="Arial"/>
                <w:kern w:val="0"/>
                <w:szCs w:val="22"/>
                <w:lang w:eastAsia="en-US"/>
              </w:rPr>
              <w:fldChar w:fldCharType="end"/>
            </w:r>
            <w:r>
              <w:rPr>
                <w:rFonts w:eastAsia="Calibri" w:cs="Arial"/>
                <w:lang w:eastAsia="en-US"/>
              </w:rPr>
              <w:t xml:space="preserve"> </w:t>
            </w:r>
          </w:p>
        </w:tc>
        <w:tc>
          <w:tcPr>
            <w:tcW w:w="1223" w:type="dxa"/>
          </w:tcPr>
          <w:p>
            <w:pPr>
              <w:widowControl/>
              <w:rPr>
                <w:rFonts w:eastAsia="Calibri" w:cs="Times New Roman"/>
                <w:kern w:val="0"/>
                <w:szCs w:val="22"/>
                <w:lang w:eastAsia="en-US"/>
              </w:rPr>
            </w:pPr>
            <w:r>
              <w:rPr>
                <w:rFonts w:eastAsia="Calibri" w:cs="Times New Roman"/>
                <w:kern w:val="0"/>
                <w:szCs w:val="22"/>
                <w:lang w:eastAsia="en-US"/>
              </w:rPr>
              <w:t>NOx</w:t>
            </w:r>
          </w:p>
        </w:tc>
        <w:tc>
          <w:tcPr>
            <w:tcW w:w="2157" w:type="dxa"/>
          </w:tcPr>
          <w:p>
            <w:pPr>
              <w:widowControl/>
              <w:jc w:val="right"/>
              <w:rPr>
                <w:rFonts w:eastAsia="Calibri" w:cs="Times New Roman"/>
                <w:kern w:val="0"/>
                <w:szCs w:val="22"/>
                <w:lang w:eastAsia="en-US"/>
              </w:rPr>
            </w:pPr>
            <w:r>
              <w:rPr>
                <w:rFonts w:eastAsia="Calibri" w:cs="Times New Roman"/>
                <w:kern w:val="0"/>
                <w:szCs w:val="22"/>
                <w:lang w:eastAsia="en-US"/>
              </w:rPr>
              <w:t>1989 $/ton $4,430</w:t>
            </w:r>
          </w:p>
        </w:tc>
        <w:tc>
          <w:tcPr>
            <w:tcW w:w="1227" w:type="dxa"/>
          </w:tcPr>
          <w:p>
            <w:pPr>
              <w:widowControl/>
              <w:jc w:val="right"/>
              <w:rPr>
                <w:rFonts w:eastAsia="Calibri" w:cs="Times New Roman"/>
                <w:kern w:val="0"/>
                <w:szCs w:val="22"/>
                <w:lang w:eastAsia="en-US"/>
              </w:rPr>
            </w:pPr>
            <w:r>
              <w:rPr>
                <w:rFonts w:eastAsia="Calibri" w:cs="Times New Roman"/>
                <w:kern w:val="0"/>
                <w:szCs w:val="22"/>
                <w:lang w:eastAsia="en-US"/>
              </w:rPr>
              <w:t>$9,437</w:t>
            </w:r>
          </w:p>
        </w:tc>
        <w:tc>
          <w:tcPr>
            <w:tcW w:w="1153" w:type="dxa"/>
          </w:tcPr>
          <w:p>
            <w:pPr>
              <w:widowControl/>
              <w:jc w:val="right"/>
              <w:rPr>
                <w:rFonts w:eastAsia="Calibri" w:cs="Times New Roman"/>
                <w:kern w:val="0"/>
                <w:szCs w:val="22"/>
                <w:lang w:eastAsia="en-US"/>
              </w:rPr>
            </w:pPr>
            <w:r>
              <w:rPr>
                <w:rFonts w:eastAsia="Calibri" w:cs="Times New Roman"/>
                <w:kern w:val="0"/>
                <w:szCs w:val="22"/>
                <w:lang w:eastAsia="en-US"/>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vMerge w:val="continue"/>
          </w:tcPr>
          <w:p>
            <w:pPr>
              <w:widowControl/>
              <w:rPr>
                <w:rFonts w:eastAsia="Calibri" w:cs="Times New Roman"/>
                <w:kern w:val="0"/>
                <w:szCs w:val="22"/>
                <w:lang w:eastAsia="en-US"/>
              </w:rPr>
            </w:pPr>
          </w:p>
        </w:tc>
        <w:tc>
          <w:tcPr>
            <w:tcW w:w="1223" w:type="dxa"/>
          </w:tcPr>
          <w:p>
            <w:pPr>
              <w:widowControl/>
              <w:rPr>
                <w:rFonts w:eastAsia="Calibri" w:cs="Times New Roman"/>
                <w:kern w:val="0"/>
                <w:szCs w:val="22"/>
                <w:lang w:eastAsia="en-US"/>
              </w:rPr>
            </w:pPr>
            <w:r>
              <w:rPr>
                <w:rFonts w:eastAsia="Calibri" w:cs="Times New Roman"/>
                <w:kern w:val="0"/>
                <w:szCs w:val="22"/>
                <w:lang w:eastAsia="en-US"/>
              </w:rPr>
              <w:t>CO</w:t>
            </w:r>
          </w:p>
        </w:tc>
        <w:tc>
          <w:tcPr>
            <w:tcW w:w="2157" w:type="dxa"/>
          </w:tcPr>
          <w:p>
            <w:pPr>
              <w:widowControl/>
              <w:jc w:val="right"/>
              <w:rPr>
                <w:rFonts w:eastAsia="Calibri" w:cs="Times New Roman"/>
                <w:kern w:val="0"/>
                <w:szCs w:val="22"/>
                <w:lang w:eastAsia="en-US"/>
              </w:rPr>
            </w:pPr>
            <w:r>
              <w:rPr>
                <w:rFonts w:eastAsia="Calibri" w:cs="Times New Roman"/>
                <w:kern w:val="0"/>
                <w:szCs w:val="22"/>
                <w:lang w:eastAsia="en-US"/>
              </w:rPr>
              <w:t>2,490</w:t>
            </w:r>
          </w:p>
        </w:tc>
        <w:tc>
          <w:tcPr>
            <w:tcW w:w="1227" w:type="dxa"/>
          </w:tcPr>
          <w:p>
            <w:pPr>
              <w:widowControl/>
              <w:jc w:val="right"/>
              <w:rPr>
                <w:rFonts w:eastAsia="Calibri" w:cs="Times New Roman"/>
                <w:kern w:val="0"/>
                <w:szCs w:val="22"/>
                <w:lang w:eastAsia="en-US"/>
              </w:rPr>
            </w:pPr>
            <w:r>
              <w:rPr>
                <w:rFonts w:eastAsia="Calibri" w:cs="Times New Roman"/>
                <w:kern w:val="0"/>
                <w:szCs w:val="22"/>
                <w:lang w:eastAsia="en-US"/>
              </w:rPr>
              <w:t>$5,304</w:t>
            </w:r>
          </w:p>
        </w:tc>
        <w:tc>
          <w:tcPr>
            <w:tcW w:w="1153" w:type="dxa"/>
          </w:tcPr>
          <w:p>
            <w:pPr>
              <w:widowControl/>
              <w:jc w:val="right"/>
              <w:rPr>
                <w:rFonts w:eastAsia="Calibri" w:cs="Times New Roman"/>
                <w:kern w:val="0"/>
                <w:szCs w:val="22"/>
                <w:lang w:eastAsia="en-US"/>
              </w:rPr>
            </w:pPr>
            <w:r>
              <w:rPr>
                <w:rFonts w:eastAsia="Calibri" w:cs="Times New Roman"/>
                <w:kern w:val="0"/>
                <w:szCs w:val="22"/>
                <w:lang w:eastAsia="en-US"/>
              </w:rPr>
              <w:t>$5.85</w:t>
            </w:r>
          </w:p>
        </w:tc>
      </w:tr>
    </w:tbl>
    <w:p>
      <w:pPr>
        <w:pStyle w:val="50"/>
        <w:spacing w:line="240" w:lineRule="auto"/>
        <w:ind w:firstLine="0"/>
      </w:pPr>
    </w:p>
    <w:p>
      <w:pPr>
        <w:pStyle w:val="4"/>
      </w:pPr>
      <w:r>
        <w:t>Analysis/Result</w:t>
      </w:r>
    </w:p>
    <w:p>
      <w:pPr>
        <w:pStyle w:val="5"/>
        <w:rPr>
          <w:i w:val="0"/>
        </w:rPr>
      </w:pPr>
      <w:r>
        <w:rPr>
          <w:i w:val="0"/>
        </w:rPr>
        <w:t xml:space="preserve">Synchro Delay Result </w:t>
      </w:r>
    </w:p>
    <w:p>
      <w:r>
        <w:fldChar w:fldCharType="begin"/>
      </w:r>
      <w:r>
        <w:instrText xml:space="preserve"> REF _Ref101343530 \h </w:instrText>
      </w:r>
      <w:r>
        <w:fldChar w:fldCharType="separate"/>
      </w:r>
      <w:r>
        <w:t>TABLE 4</w:t>
      </w:r>
      <w:r>
        <w:fldChar w:fldCharType="end"/>
      </w:r>
      <w:r>
        <w:t xml:space="preserve"> shows the summary of Synchro results for scenarios one to scenario six. Comparing the cycle length of the Pre-COVID scenarios (scenarios 1-3), scenario one has the highest at 118 sec compared to 75 secs for scenarios two and three. For intersection delay, scenario one has the highest delay at 32.0 sec compared to scenario two and scenario three, which experienced a delay of 23.2 secs and 18.7 secs, respectively. Scenario three, pre-COVID volumes with new phasing and optimal signal timing, has the lowest intersection delay (18.7 sec) and operates at a LOS B compared to scenarios one and 2, which have a LOS C. The CO, NOx, and VOC emissions are the highest in scenario one. The CO, NOx, and VOC emissions are significantly lower in scenario three compared to scenarios one and scenario three. In summary, scenario three has the lowest values for all output for the pre-COVID scenarios, as shown in </w:t>
      </w:r>
      <w:r>
        <w:fldChar w:fldCharType="begin"/>
      </w:r>
      <w:r>
        <w:instrText xml:space="preserve"> REF _Ref101343530 \h </w:instrText>
      </w:r>
      <w:r>
        <w:fldChar w:fldCharType="separate"/>
      </w:r>
      <w:r>
        <w:t>TABLE 4</w:t>
      </w:r>
      <w:r>
        <w:fldChar w:fldCharType="end"/>
      </w:r>
      <w:r>
        <w:t>.</w:t>
      </w:r>
    </w:p>
    <w:p/>
    <w:p>
      <w:r>
        <w:t xml:space="preserve">Similarly, </w:t>
      </w:r>
      <w:r>
        <w:rPr>
          <w:highlight w:val="yellow"/>
        </w:rPr>
        <w:fldChar w:fldCharType="begin"/>
      </w:r>
      <w:r>
        <w:rPr>
          <w:highlight w:val="yellow"/>
        </w:rPr>
        <w:instrText xml:space="preserve"> REF _Ref69893700 \h </w:instrText>
      </w:r>
      <w:r>
        <w:rPr>
          <w:highlight w:val="yellow"/>
        </w:rPr>
        <w:fldChar w:fldCharType="separate"/>
      </w:r>
      <w:r>
        <w:t>TABLE 4</w:t>
      </w:r>
      <w:r>
        <w:rPr>
          <w:highlight w:val="yellow"/>
        </w:rPr>
        <w:fldChar w:fldCharType="end"/>
      </w:r>
      <w:r>
        <w:t xml:space="preserve"> summarizes Synchro results for the COVID scenarios (scenarios 4-6). The cycle length in scenario one is the highest at 118 sec, followed by 75 secs for scenario five and 65 secs in scenario six. For intersection delay, scenario four has the highest delay, 31.6 sec, compared to scenario five and scenario six at 26.5 sec and 20.3 sec, respectively. While all three COVID scenarios are operating a LOS C, scenario six, COVID volumes with new phasing and optimal delay, has the lowest intersection delay. The CO, NOx, and VOC emission is the highest in scenario four and the lowest in scenario six. Similar to the Pre-COVID scenarios, the lowest values of all output during COVID occurred in the new phasing and optimal signal timing scenario (scenario 6); see </w:t>
      </w:r>
      <w:r>
        <w:rPr>
          <w:highlight w:val="yellow"/>
        </w:rPr>
        <w:fldChar w:fldCharType="begin"/>
      </w:r>
      <w:r>
        <w:rPr>
          <w:highlight w:val="yellow"/>
        </w:rPr>
        <w:instrText xml:space="preserve"> REF _Ref69893700 \h </w:instrText>
      </w:r>
      <w:r>
        <w:rPr>
          <w:highlight w:val="yellow"/>
        </w:rPr>
        <w:fldChar w:fldCharType="separate"/>
      </w:r>
      <w:r>
        <w:t>TABLE 4</w:t>
      </w:r>
      <w:r>
        <w:rPr>
          <w:highlight w:val="yellow"/>
        </w:rPr>
        <w:fldChar w:fldCharType="end"/>
      </w:r>
      <w:r>
        <w:t>.</w:t>
      </w:r>
    </w:p>
    <w:p>
      <w:pPr>
        <w:rPr>
          <w:lang w:eastAsia="en-US"/>
        </w:rPr>
      </w:pPr>
    </w:p>
    <w:p>
      <w:pPr>
        <w:pStyle w:val="17"/>
      </w:pPr>
      <w:bookmarkStart w:id="27" w:name="_Ref101343530"/>
      <w:r>
        <w:t xml:space="preserve">TABLE </w:t>
      </w:r>
      <w:r>
        <w:fldChar w:fldCharType="begin"/>
      </w:r>
      <w:r>
        <w:instrText xml:space="preserve"> SEQ Table \* ARABIC </w:instrText>
      </w:r>
      <w:r>
        <w:fldChar w:fldCharType="separate"/>
      </w:r>
      <w:r>
        <w:t>4</w:t>
      </w:r>
      <w:r>
        <w:fldChar w:fldCharType="end"/>
      </w:r>
      <w:bookmarkEnd w:id="27"/>
      <w:r>
        <w:t>. Summary of Synchro Results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990"/>
        <w:gridCol w:w="1530"/>
        <w:gridCol w:w="81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shd w:val="clear" w:color="auto" w:fill="BEBEBE" w:themeFill="background1" w:themeFillShade="BF"/>
            <w:vAlign w:val="center"/>
          </w:tcPr>
          <w:p>
            <w:pPr>
              <w:rPr>
                <w:rFonts w:cs="Times New Roman" w:eastAsiaTheme="minorHAnsi"/>
                <w:b/>
              </w:rPr>
            </w:pPr>
            <w:r>
              <w:rPr>
                <w:rFonts w:cs="Times New Roman" w:eastAsiaTheme="minorHAnsi"/>
                <w:b/>
              </w:rPr>
              <w:t>Scenario</w:t>
            </w:r>
          </w:p>
        </w:tc>
        <w:tc>
          <w:tcPr>
            <w:tcW w:w="990" w:type="dxa"/>
            <w:shd w:val="clear" w:color="auto" w:fill="BEBEBE" w:themeFill="background1" w:themeFillShade="BF"/>
            <w:vAlign w:val="center"/>
          </w:tcPr>
          <w:p>
            <w:pPr>
              <w:rPr>
                <w:rFonts w:cs="Times New Roman" w:eastAsiaTheme="minorHAnsi"/>
                <w:b/>
              </w:rPr>
            </w:pPr>
            <w:r>
              <w:rPr>
                <w:rFonts w:cs="Times New Roman" w:eastAsiaTheme="minorHAnsi"/>
                <w:b/>
              </w:rPr>
              <w:t>Cycle Length (s)</w:t>
            </w:r>
          </w:p>
        </w:tc>
        <w:tc>
          <w:tcPr>
            <w:tcW w:w="1530" w:type="dxa"/>
            <w:shd w:val="clear" w:color="auto" w:fill="BEBEBE" w:themeFill="background1" w:themeFillShade="BF"/>
            <w:vAlign w:val="center"/>
          </w:tcPr>
          <w:p>
            <w:pPr>
              <w:rPr>
                <w:rFonts w:cs="Times New Roman" w:eastAsiaTheme="minorHAnsi"/>
                <w:b/>
              </w:rPr>
            </w:pPr>
            <w:r>
              <w:rPr>
                <w:rFonts w:cs="Times New Roman" w:eastAsiaTheme="minorHAnsi"/>
                <w:b/>
              </w:rPr>
              <w:t>Intersection Delay (s/veh)</w:t>
            </w:r>
          </w:p>
        </w:tc>
        <w:tc>
          <w:tcPr>
            <w:tcW w:w="817" w:type="dxa"/>
            <w:shd w:val="clear" w:color="auto" w:fill="BEBEBE" w:themeFill="background1" w:themeFillShade="BF"/>
            <w:vAlign w:val="center"/>
          </w:tcPr>
          <w:p>
            <w:pPr>
              <w:rPr>
                <w:rFonts w:cs="Times New Roman" w:eastAsiaTheme="minorHAnsi"/>
                <w:b/>
              </w:rPr>
            </w:pPr>
            <w:r>
              <w:rPr>
                <w:rFonts w:cs="Times New Roman" w:eastAsiaTheme="minorHAnsi"/>
                <w:b/>
              </w:rPr>
              <w:t>LOS</w:t>
            </w:r>
          </w:p>
        </w:tc>
        <w:tc>
          <w:tcPr>
            <w:tcW w:w="907" w:type="dxa"/>
            <w:shd w:val="clear" w:color="auto" w:fill="BEBEBE" w:themeFill="background1" w:themeFillShade="BF"/>
            <w:vAlign w:val="center"/>
          </w:tcPr>
          <w:p>
            <w:pPr>
              <w:rPr>
                <w:rFonts w:cs="Times New Roman" w:eastAsiaTheme="minorHAnsi"/>
                <w:b/>
              </w:rPr>
            </w:pPr>
            <w:r>
              <w:rPr>
                <w:rFonts w:cs="Times New Roman" w:eastAsiaTheme="minorHAnsi"/>
                <w:b/>
              </w:rPr>
              <w:t>CO (g/hr.)</w:t>
            </w:r>
          </w:p>
        </w:tc>
        <w:tc>
          <w:tcPr>
            <w:tcW w:w="907" w:type="dxa"/>
            <w:shd w:val="clear" w:color="auto" w:fill="BEBEBE" w:themeFill="background1" w:themeFillShade="BF"/>
            <w:vAlign w:val="center"/>
          </w:tcPr>
          <w:p>
            <w:pPr>
              <w:rPr>
                <w:rFonts w:cs="Times New Roman" w:eastAsiaTheme="minorHAnsi"/>
                <w:b/>
              </w:rPr>
            </w:pPr>
            <w:r>
              <w:rPr>
                <w:rFonts w:cs="Times New Roman" w:eastAsiaTheme="minorHAnsi"/>
                <w:b/>
              </w:rPr>
              <w:t>NOx (g/hr.)</w:t>
            </w:r>
          </w:p>
        </w:tc>
        <w:tc>
          <w:tcPr>
            <w:tcW w:w="907" w:type="dxa"/>
            <w:shd w:val="clear" w:color="auto" w:fill="BEBEBE" w:themeFill="background1" w:themeFillShade="BF"/>
            <w:vAlign w:val="center"/>
          </w:tcPr>
          <w:p>
            <w:pPr>
              <w:rPr>
                <w:rFonts w:cs="Times New Roman" w:eastAsiaTheme="minorHAnsi"/>
                <w:b/>
              </w:rPr>
            </w:pPr>
            <w:r>
              <w:rPr>
                <w:rFonts w:cs="Times New Roman" w:eastAsiaTheme="minorHAnsi"/>
                <w:b/>
              </w:rPr>
              <w:t>VOC (g/hr.)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cs="Times New Roman" w:eastAsiaTheme="minorHAnsi"/>
              </w:rPr>
            </w:pPr>
            <w:r>
              <w:rPr>
                <w:rFonts w:cs="Times New Roman" w:eastAsiaTheme="minorHAnsi"/>
              </w:rPr>
              <w:t>1: Pre-COVID, Existing phase &amp; timing</w:t>
            </w:r>
          </w:p>
        </w:tc>
        <w:tc>
          <w:tcPr>
            <w:tcW w:w="990" w:type="dxa"/>
            <w:vAlign w:val="center"/>
          </w:tcPr>
          <w:p>
            <w:pPr>
              <w:rPr>
                <w:rFonts w:cs="Times New Roman" w:eastAsiaTheme="minorHAnsi"/>
              </w:rPr>
            </w:pPr>
            <w:r>
              <w:rPr>
                <w:rFonts w:cs="Times New Roman" w:eastAsiaTheme="minorHAnsi"/>
              </w:rPr>
              <w:t>118</w:t>
            </w:r>
          </w:p>
        </w:tc>
        <w:tc>
          <w:tcPr>
            <w:tcW w:w="1530" w:type="dxa"/>
            <w:vAlign w:val="center"/>
          </w:tcPr>
          <w:p>
            <w:pPr>
              <w:rPr>
                <w:rFonts w:cs="Times New Roman" w:eastAsiaTheme="minorHAnsi"/>
              </w:rPr>
            </w:pPr>
            <w:r>
              <w:rPr>
                <w:rFonts w:cs="Times New Roman" w:eastAsiaTheme="minorHAnsi"/>
              </w:rPr>
              <w:t>32.0</w:t>
            </w:r>
          </w:p>
        </w:tc>
        <w:tc>
          <w:tcPr>
            <w:tcW w:w="817" w:type="dxa"/>
            <w:vAlign w:val="center"/>
          </w:tcPr>
          <w:p>
            <w:pPr>
              <w:rPr>
                <w:rFonts w:cs="Times New Roman" w:eastAsiaTheme="minorHAnsi"/>
              </w:rPr>
            </w:pPr>
            <w:r>
              <w:rPr>
                <w:rFonts w:cs="Times New Roman" w:eastAsiaTheme="minorHAnsi"/>
              </w:rPr>
              <w:t>C</w:t>
            </w:r>
          </w:p>
        </w:tc>
        <w:tc>
          <w:tcPr>
            <w:tcW w:w="907" w:type="dxa"/>
            <w:vAlign w:val="center"/>
          </w:tcPr>
          <w:p>
            <w:pPr>
              <w:rPr>
                <w:rFonts w:cs="Times New Roman" w:eastAsiaTheme="minorHAnsi"/>
              </w:rPr>
            </w:pPr>
            <w:r>
              <w:rPr>
                <w:rFonts w:cs="Times New Roman" w:eastAsiaTheme="minorHAnsi"/>
              </w:rPr>
              <w:t>2916</w:t>
            </w:r>
          </w:p>
        </w:tc>
        <w:tc>
          <w:tcPr>
            <w:tcW w:w="907" w:type="dxa"/>
            <w:vAlign w:val="center"/>
          </w:tcPr>
          <w:p>
            <w:pPr>
              <w:rPr>
                <w:rFonts w:cs="Times New Roman" w:eastAsiaTheme="minorHAnsi"/>
              </w:rPr>
            </w:pPr>
            <w:r>
              <w:rPr>
                <w:rFonts w:cs="Times New Roman" w:eastAsiaTheme="minorHAnsi"/>
              </w:rPr>
              <w:t>567</w:t>
            </w:r>
          </w:p>
        </w:tc>
        <w:tc>
          <w:tcPr>
            <w:tcW w:w="907" w:type="dxa"/>
            <w:vAlign w:val="center"/>
          </w:tcPr>
          <w:p>
            <w:pPr>
              <w:rPr>
                <w:rFonts w:cs="Times New Roman" w:eastAsiaTheme="minorHAnsi"/>
              </w:rPr>
            </w:pPr>
            <w:r>
              <w:rPr>
                <w:rFonts w:cs="Times New Roman" w:eastAsiaTheme="minorHAnsi"/>
              </w:rPr>
              <w:t>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cs="Times New Roman" w:eastAsiaTheme="minorHAnsi"/>
              </w:rPr>
            </w:pPr>
            <w:r>
              <w:rPr>
                <w:rFonts w:cs="Times New Roman" w:eastAsiaTheme="minorHAnsi"/>
              </w:rPr>
              <w:t>2: Pre-COVID, Existing phase, Optimal timing</w:t>
            </w:r>
          </w:p>
        </w:tc>
        <w:tc>
          <w:tcPr>
            <w:tcW w:w="990" w:type="dxa"/>
            <w:vAlign w:val="center"/>
          </w:tcPr>
          <w:p>
            <w:pPr>
              <w:rPr>
                <w:rFonts w:cs="Times New Roman" w:eastAsiaTheme="minorHAnsi"/>
              </w:rPr>
            </w:pPr>
            <w:r>
              <w:rPr>
                <w:rFonts w:cs="Times New Roman" w:eastAsiaTheme="minorHAnsi"/>
              </w:rPr>
              <w:t>75</w:t>
            </w:r>
          </w:p>
        </w:tc>
        <w:tc>
          <w:tcPr>
            <w:tcW w:w="1530" w:type="dxa"/>
            <w:vAlign w:val="center"/>
          </w:tcPr>
          <w:p>
            <w:pPr>
              <w:rPr>
                <w:rFonts w:cs="Times New Roman" w:eastAsiaTheme="minorHAnsi"/>
              </w:rPr>
            </w:pPr>
            <w:r>
              <w:rPr>
                <w:rFonts w:cs="Times New Roman" w:eastAsiaTheme="minorHAnsi"/>
              </w:rPr>
              <w:t>23.2</w:t>
            </w:r>
          </w:p>
        </w:tc>
        <w:tc>
          <w:tcPr>
            <w:tcW w:w="817" w:type="dxa"/>
            <w:vAlign w:val="center"/>
          </w:tcPr>
          <w:p>
            <w:pPr>
              <w:rPr>
                <w:rFonts w:cs="Times New Roman" w:eastAsiaTheme="minorHAnsi"/>
              </w:rPr>
            </w:pPr>
            <w:r>
              <w:rPr>
                <w:rFonts w:cs="Times New Roman" w:eastAsiaTheme="minorHAnsi"/>
              </w:rPr>
              <w:t>C</w:t>
            </w:r>
          </w:p>
        </w:tc>
        <w:tc>
          <w:tcPr>
            <w:tcW w:w="907" w:type="dxa"/>
            <w:vAlign w:val="center"/>
          </w:tcPr>
          <w:p>
            <w:pPr>
              <w:rPr>
                <w:rFonts w:cs="Times New Roman" w:eastAsiaTheme="minorHAnsi"/>
              </w:rPr>
            </w:pPr>
            <w:r>
              <w:rPr>
                <w:rFonts w:cs="Times New Roman" w:eastAsiaTheme="minorHAnsi"/>
              </w:rPr>
              <w:t>2663</w:t>
            </w:r>
          </w:p>
        </w:tc>
        <w:tc>
          <w:tcPr>
            <w:tcW w:w="907" w:type="dxa"/>
            <w:vAlign w:val="center"/>
          </w:tcPr>
          <w:p>
            <w:pPr>
              <w:rPr>
                <w:rFonts w:cs="Times New Roman" w:eastAsiaTheme="minorHAnsi"/>
              </w:rPr>
            </w:pPr>
            <w:r>
              <w:rPr>
                <w:rFonts w:cs="Times New Roman" w:eastAsiaTheme="minorHAnsi"/>
              </w:rPr>
              <w:t>518</w:t>
            </w:r>
          </w:p>
        </w:tc>
        <w:tc>
          <w:tcPr>
            <w:tcW w:w="907" w:type="dxa"/>
            <w:vAlign w:val="center"/>
          </w:tcPr>
          <w:p>
            <w:pPr>
              <w:rPr>
                <w:rFonts w:cs="Times New Roman" w:eastAsiaTheme="minorHAnsi"/>
              </w:rPr>
            </w:pPr>
            <w:r>
              <w:rPr>
                <w:rFonts w:cs="Times New Roman" w:eastAsiaTheme="minorHAnsi"/>
              </w:rPr>
              <w:t>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5" w:type="dxa"/>
          </w:tcPr>
          <w:p>
            <w:pPr>
              <w:rPr>
                <w:rFonts w:cs="Times New Roman" w:eastAsiaTheme="minorHAnsi"/>
              </w:rPr>
            </w:pPr>
            <w:r>
              <w:rPr>
                <w:rFonts w:cs="Times New Roman" w:eastAsiaTheme="minorHAnsi"/>
              </w:rPr>
              <w:t>3:Pre-COVID,New  Phasing,Optimal Timing</w:t>
            </w:r>
          </w:p>
        </w:tc>
        <w:tc>
          <w:tcPr>
            <w:tcW w:w="990" w:type="dxa"/>
            <w:vAlign w:val="center"/>
          </w:tcPr>
          <w:p>
            <w:pPr>
              <w:rPr>
                <w:rFonts w:cs="Times New Roman" w:eastAsiaTheme="minorHAnsi"/>
              </w:rPr>
            </w:pPr>
            <w:r>
              <w:rPr>
                <w:rFonts w:cs="Times New Roman" w:eastAsiaTheme="minorHAnsi"/>
              </w:rPr>
              <w:t>75</w:t>
            </w:r>
          </w:p>
        </w:tc>
        <w:tc>
          <w:tcPr>
            <w:tcW w:w="1530" w:type="dxa"/>
            <w:vAlign w:val="center"/>
          </w:tcPr>
          <w:p>
            <w:pPr>
              <w:rPr>
                <w:rFonts w:cs="Times New Roman" w:eastAsiaTheme="minorHAnsi"/>
              </w:rPr>
            </w:pPr>
            <w:r>
              <w:rPr>
                <w:rFonts w:cs="Times New Roman" w:eastAsiaTheme="minorHAnsi"/>
              </w:rPr>
              <w:t>18.7</w:t>
            </w:r>
          </w:p>
        </w:tc>
        <w:tc>
          <w:tcPr>
            <w:tcW w:w="817" w:type="dxa"/>
            <w:vAlign w:val="center"/>
          </w:tcPr>
          <w:p>
            <w:pPr>
              <w:rPr>
                <w:rFonts w:cs="Times New Roman" w:eastAsiaTheme="minorHAnsi"/>
              </w:rPr>
            </w:pPr>
            <w:r>
              <w:rPr>
                <w:rFonts w:cs="Times New Roman" w:eastAsiaTheme="minorHAnsi"/>
              </w:rPr>
              <w:t>B</w:t>
            </w:r>
          </w:p>
        </w:tc>
        <w:tc>
          <w:tcPr>
            <w:tcW w:w="907" w:type="dxa"/>
            <w:vAlign w:val="center"/>
          </w:tcPr>
          <w:p>
            <w:pPr>
              <w:rPr>
                <w:rFonts w:cs="Times New Roman" w:eastAsiaTheme="minorHAnsi"/>
              </w:rPr>
            </w:pPr>
            <w:r>
              <w:rPr>
                <w:rFonts w:cs="Times New Roman" w:eastAsiaTheme="minorHAnsi"/>
              </w:rPr>
              <w:t>2436</w:t>
            </w:r>
          </w:p>
        </w:tc>
        <w:tc>
          <w:tcPr>
            <w:tcW w:w="907" w:type="dxa"/>
            <w:vAlign w:val="center"/>
          </w:tcPr>
          <w:p>
            <w:pPr>
              <w:rPr>
                <w:rFonts w:cs="Times New Roman" w:eastAsiaTheme="minorHAnsi"/>
              </w:rPr>
            </w:pPr>
            <w:r>
              <w:rPr>
                <w:rFonts w:cs="Times New Roman" w:eastAsiaTheme="minorHAnsi"/>
              </w:rPr>
              <w:t>474</w:t>
            </w:r>
          </w:p>
        </w:tc>
        <w:tc>
          <w:tcPr>
            <w:tcW w:w="907" w:type="dxa"/>
            <w:vAlign w:val="center"/>
          </w:tcPr>
          <w:p>
            <w:pPr>
              <w:rPr>
                <w:rFonts w:cs="Times New Roman" w:eastAsiaTheme="minorHAnsi"/>
              </w:rPr>
            </w:pPr>
            <w:r>
              <w:rPr>
                <w:rFonts w:cs="Times New Roman" w:eastAsiaTheme="minorHAnsi"/>
              </w:rPr>
              <w:t>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cs="Times New Roman" w:eastAsiaTheme="minorHAnsi"/>
              </w:rPr>
            </w:pPr>
            <w:r>
              <w:rPr>
                <w:rFonts w:cs="Times New Roman" w:eastAsiaTheme="minorHAnsi"/>
              </w:rPr>
              <w:t>4:COVID,Existing phase &amp; timing</w:t>
            </w:r>
          </w:p>
        </w:tc>
        <w:tc>
          <w:tcPr>
            <w:tcW w:w="990" w:type="dxa"/>
            <w:vAlign w:val="center"/>
          </w:tcPr>
          <w:p>
            <w:pPr>
              <w:rPr>
                <w:rFonts w:cs="Times New Roman" w:eastAsiaTheme="minorHAnsi"/>
              </w:rPr>
            </w:pPr>
            <w:r>
              <w:rPr>
                <w:rFonts w:cs="Times New Roman" w:eastAsiaTheme="minorHAnsi"/>
              </w:rPr>
              <w:t>118</w:t>
            </w:r>
          </w:p>
        </w:tc>
        <w:tc>
          <w:tcPr>
            <w:tcW w:w="1530" w:type="dxa"/>
            <w:vAlign w:val="center"/>
          </w:tcPr>
          <w:p>
            <w:pPr>
              <w:rPr>
                <w:rFonts w:cs="Times New Roman" w:eastAsiaTheme="minorHAnsi"/>
              </w:rPr>
            </w:pPr>
            <w:r>
              <w:rPr>
                <w:rFonts w:cs="Times New Roman" w:eastAsiaTheme="minorHAnsi"/>
              </w:rPr>
              <w:t>31.6</w:t>
            </w:r>
          </w:p>
        </w:tc>
        <w:tc>
          <w:tcPr>
            <w:tcW w:w="817" w:type="dxa"/>
            <w:vAlign w:val="center"/>
          </w:tcPr>
          <w:p>
            <w:pPr>
              <w:rPr>
                <w:rFonts w:cs="Times New Roman" w:eastAsiaTheme="minorHAnsi"/>
              </w:rPr>
            </w:pPr>
            <w:r>
              <w:rPr>
                <w:rFonts w:cs="Times New Roman" w:eastAsiaTheme="minorHAnsi"/>
              </w:rPr>
              <w:t>C</w:t>
            </w:r>
          </w:p>
        </w:tc>
        <w:tc>
          <w:tcPr>
            <w:tcW w:w="907" w:type="dxa"/>
            <w:vAlign w:val="center"/>
          </w:tcPr>
          <w:p>
            <w:pPr>
              <w:rPr>
                <w:rFonts w:cs="Times New Roman" w:eastAsiaTheme="minorHAnsi"/>
              </w:rPr>
            </w:pPr>
            <w:r>
              <w:rPr>
                <w:rFonts w:cs="Times New Roman" w:eastAsiaTheme="minorHAnsi"/>
              </w:rPr>
              <w:t>2256</w:t>
            </w:r>
          </w:p>
        </w:tc>
        <w:tc>
          <w:tcPr>
            <w:tcW w:w="907" w:type="dxa"/>
            <w:vAlign w:val="center"/>
          </w:tcPr>
          <w:p>
            <w:pPr>
              <w:rPr>
                <w:rFonts w:cs="Times New Roman" w:eastAsiaTheme="minorHAnsi"/>
              </w:rPr>
            </w:pPr>
            <w:r>
              <w:rPr>
                <w:rFonts w:cs="Times New Roman" w:eastAsiaTheme="minorHAnsi"/>
              </w:rPr>
              <w:t>438</w:t>
            </w:r>
          </w:p>
        </w:tc>
        <w:tc>
          <w:tcPr>
            <w:tcW w:w="907" w:type="dxa"/>
            <w:vAlign w:val="center"/>
          </w:tcPr>
          <w:p>
            <w:pPr>
              <w:rPr>
                <w:rFonts w:cs="Times New Roman" w:eastAsiaTheme="minorHAnsi"/>
              </w:rPr>
            </w:pPr>
            <w:r>
              <w:rPr>
                <w:rFonts w:cs="Times New Roman" w:eastAsiaTheme="minorHAnsi"/>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cs="Times New Roman" w:eastAsiaTheme="minorHAnsi"/>
              </w:rPr>
            </w:pPr>
            <w:r>
              <w:rPr>
                <w:rFonts w:cs="Times New Roman" w:eastAsiaTheme="minorHAnsi"/>
              </w:rPr>
              <w:t>5:COVID,Existing phase, Optimal timing</w:t>
            </w:r>
          </w:p>
        </w:tc>
        <w:tc>
          <w:tcPr>
            <w:tcW w:w="990" w:type="dxa"/>
            <w:vAlign w:val="center"/>
          </w:tcPr>
          <w:p>
            <w:pPr>
              <w:rPr>
                <w:rFonts w:cs="Times New Roman" w:eastAsiaTheme="minorHAnsi"/>
              </w:rPr>
            </w:pPr>
            <w:r>
              <w:rPr>
                <w:rFonts w:cs="Times New Roman" w:eastAsiaTheme="minorHAnsi"/>
              </w:rPr>
              <w:t>70</w:t>
            </w:r>
          </w:p>
        </w:tc>
        <w:tc>
          <w:tcPr>
            <w:tcW w:w="1530" w:type="dxa"/>
            <w:vAlign w:val="center"/>
          </w:tcPr>
          <w:p>
            <w:pPr>
              <w:rPr>
                <w:rFonts w:cs="Times New Roman" w:eastAsiaTheme="minorHAnsi"/>
              </w:rPr>
            </w:pPr>
            <w:r>
              <w:rPr>
                <w:rFonts w:cs="Times New Roman" w:eastAsiaTheme="minorHAnsi"/>
              </w:rPr>
              <w:t>26.5</w:t>
            </w:r>
          </w:p>
        </w:tc>
        <w:tc>
          <w:tcPr>
            <w:tcW w:w="817" w:type="dxa"/>
            <w:vAlign w:val="center"/>
          </w:tcPr>
          <w:p>
            <w:pPr>
              <w:rPr>
                <w:rFonts w:cs="Times New Roman" w:eastAsiaTheme="minorHAnsi"/>
              </w:rPr>
            </w:pPr>
            <w:r>
              <w:rPr>
                <w:rFonts w:cs="Times New Roman" w:eastAsiaTheme="minorHAnsi"/>
              </w:rPr>
              <w:t>C</w:t>
            </w:r>
          </w:p>
        </w:tc>
        <w:tc>
          <w:tcPr>
            <w:tcW w:w="907" w:type="dxa"/>
            <w:vAlign w:val="center"/>
          </w:tcPr>
          <w:p>
            <w:pPr>
              <w:rPr>
                <w:rFonts w:cs="Times New Roman" w:eastAsiaTheme="minorHAnsi"/>
              </w:rPr>
            </w:pPr>
            <w:r>
              <w:rPr>
                <w:rFonts w:cs="Times New Roman" w:eastAsiaTheme="minorHAnsi"/>
              </w:rPr>
              <w:t>2155</w:t>
            </w:r>
          </w:p>
        </w:tc>
        <w:tc>
          <w:tcPr>
            <w:tcW w:w="907" w:type="dxa"/>
            <w:vAlign w:val="center"/>
          </w:tcPr>
          <w:p>
            <w:pPr>
              <w:rPr>
                <w:rFonts w:cs="Times New Roman" w:eastAsiaTheme="minorHAnsi"/>
              </w:rPr>
            </w:pPr>
            <w:r>
              <w:rPr>
                <w:rFonts w:cs="Times New Roman" w:eastAsiaTheme="minorHAnsi"/>
              </w:rPr>
              <w:t>419</w:t>
            </w:r>
          </w:p>
        </w:tc>
        <w:tc>
          <w:tcPr>
            <w:tcW w:w="907" w:type="dxa"/>
            <w:vAlign w:val="center"/>
          </w:tcPr>
          <w:p>
            <w:pPr>
              <w:rPr>
                <w:rFonts w:cs="Times New Roman" w:eastAsiaTheme="minorHAnsi"/>
              </w:rPr>
            </w:pPr>
            <w:r>
              <w:rPr>
                <w:rFonts w:cs="Times New Roman" w:eastAsiaTheme="minorHAnsi"/>
              </w:rPr>
              <w:t>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cs="Times New Roman" w:eastAsiaTheme="minorHAnsi"/>
              </w:rPr>
            </w:pPr>
            <w:r>
              <w:rPr>
                <w:rFonts w:cs="Times New Roman" w:eastAsiaTheme="minorHAnsi"/>
              </w:rPr>
              <w:t>6:COVID,Newphasing, Optimal timing</w:t>
            </w:r>
          </w:p>
        </w:tc>
        <w:tc>
          <w:tcPr>
            <w:tcW w:w="990" w:type="dxa"/>
            <w:vAlign w:val="center"/>
          </w:tcPr>
          <w:p>
            <w:pPr>
              <w:rPr>
                <w:rFonts w:cs="Times New Roman" w:eastAsiaTheme="minorHAnsi"/>
              </w:rPr>
            </w:pPr>
            <w:r>
              <w:rPr>
                <w:rFonts w:cs="Times New Roman" w:eastAsiaTheme="minorHAnsi"/>
              </w:rPr>
              <w:t>65</w:t>
            </w:r>
          </w:p>
        </w:tc>
        <w:tc>
          <w:tcPr>
            <w:tcW w:w="1530" w:type="dxa"/>
            <w:vAlign w:val="center"/>
          </w:tcPr>
          <w:p>
            <w:pPr>
              <w:rPr>
                <w:rFonts w:cs="Times New Roman" w:eastAsiaTheme="minorHAnsi"/>
              </w:rPr>
            </w:pPr>
            <w:r>
              <w:rPr>
                <w:rFonts w:cs="Times New Roman" w:eastAsiaTheme="minorHAnsi"/>
              </w:rPr>
              <w:t>20.3</w:t>
            </w:r>
          </w:p>
        </w:tc>
        <w:tc>
          <w:tcPr>
            <w:tcW w:w="817" w:type="dxa"/>
            <w:vAlign w:val="center"/>
          </w:tcPr>
          <w:p>
            <w:pPr>
              <w:rPr>
                <w:rFonts w:cs="Times New Roman" w:eastAsiaTheme="minorHAnsi"/>
              </w:rPr>
            </w:pPr>
            <w:r>
              <w:rPr>
                <w:rFonts w:cs="Times New Roman" w:eastAsiaTheme="minorHAnsi"/>
              </w:rPr>
              <w:t>C</w:t>
            </w:r>
          </w:p>
        </w:tc>
        <w:tc>
          <w:tcPr>
            <w:tcW w:w="907" w:type="dxa"/>
            <w:vAlign w:val="center"/>
          </w:tcPr>
          <w:p>
            <w:pPr>
              <w:rPr>
                <w:rFonts w:cs="Times New Roman" w:eastAsiaTheme="minorHAnsi"/>
              </w:rPr>
            </w:pPr>
            <w:r>
              <w:rPr>
                <w:rFonts w:cs="Times New Roman" w:eastAsiaTheme="minorHAnsi"/>
              </w:rPr>
              <w:t>1948</w:t>
            </w:r>
          </w:p>
        </w:tc>
        <w:tc>
          <w:tcPr>
            <w:tcW w:w="907" w:type="dxa"/>
            <w:vAlign w:val="center"/>
          </w:tcPr>
          <w:p>
            <w:pPr>
              <w:rPr>
                <w:rFonts w:cs="Times New Roman" w:eastAsiaTheme="minorHAnsi"/>
              </w:rPr>
            </w:pPr>
            <w:r>
              <w:rPr>
                <w:rFonts w:cs="Times New Roman" w:eastAsiaTheme="minorHAnsi"/>
              </w:rPr>
              <w:t>377</w:t>
            </w:r>
          </w:p>
        </w:tc>
        <w:tc>
          <w:tcPr>
            <w:tcW w:w="907" w:type="dxa"/>
            <w:vAlign w:val="center"/>
          </w:tcPr>
          <w:p>
            <w:pPr>
              <w:rPr>
                <w:rFonts w:cs="Times New Roman" w:eastAsiaTheme="minorHAnsi"/>
              </w:rPr>
            </w:pPr>
            <w:r>
              <w:rPr>
                <w:rFonts w:cs="Times New Roman" w:eastAsiaTheme="minorHAnsi"/>
              </w:rPr>
              <w:t>452</w:t>
            </w:r>
          </w:p>
        </w:tc>
      </w:tr>
    </w:tbl>
    <w:p/>
    <w:p>
      <w:pPr>
        <w:rPr>
          <w:lang w:eastAsia="en-US"/>
        </w:rPr>
      </w:pPr>
    </w:p>
    <w:p>
      <w:pPr>
        <w:pStyle w:val="3"/>
        <w:rPr>
          <w:lang w:eastAsia="en-US"/>
        </w:rPr>
      </w:pPr>
      <w:r>
        <w:rPr>
          <w:lang w:eastAsia="en-US"/>
        </w:rPr>
        <w:t xml:space="preserve">Discussion of Results </w:t>
      </w:r>
    </w:p>
    <w:p>
      <w:pPr>
        <w:pStyle w:val="4"/>
      </w:pPr>
      <w:r>
        <w:t>Impact of COVID</w:t>
      </w:r>
    </w:p>
    <w:p>
      <w:pPr>
        <w:rPr>
          <w:lang w:eastAsia="en-US"/>
        </w:rPr>
      </w:pPr>
      <w:r>
        <w:rPr>
          <w:lang w:eastAsia="en-US"/>
        </w:rPr>
        <w:t xml:space="preserve">The COVID-19 pandemic significantly changed traffic flows across the world. This study looked at an intersection with high freight volume in Baltimore, MD. The Holabird Ave and Broening Highway intersection serves an Amazon Fulfillment Center and the Port of Baltimore. This research collected traffic volumes during COVID (10/12/2019) and compared them with pre-COVID (10/02/2019) traffic volumes. The analysis presented in this research considered six different scenarios measures of performance. </w:t>
      </w:r>
      <w:r>
        <w:rPr>
          <w:lang w:eastAsia="en-US"/>
        </w:rPr>
        <w:fldChar w:fldCharType="begin"/>
      </w:r>
      <w:r>
        <w:rPr>
          <w:lang w:eastAsia="en-US"/>
        </w:rPr>
        <w:instrText xml:space="preserve"> REF _Ref100927099 \h </w:instrText>
      </w:r>
      <w:r>
        <w:rPr>
          <w:lang w:eastAsia="en-US"/>
        </w:rPr>
        <w:fldChar w:fldCharType="separate"/>
      </w:r>
      <w:r>
        <w:t>Table 1. Pre-COVID Volumes and COVID Volumes.</w:t>
      </w:r>
      <w:r>
        <w:rPr>
          <w:lang w:eastAsia="en-US"/>
        </w:rPr>
        <w:fldChar w:fldCharType="end"/>
      </w:r>
      <w:r>
        <w:rPr>
          <w:lang w:eastAsia="en-US"/>
        </w:rPr>
        <w:t xml:space="preserve"> Pre-COVID volumes show a significant change in traffic volumes and further illustrate the impact of COVID on modes of traffic and delay experienced at the intersection. Overall, the percentage change in total volume was -4.5%, -37.3%, +11.4%, -40.2% along the EB, WB, NB, and SB approaches, respectively. In the study period, car volumes declined by 50%, and truck volumes increased by 130%. This resulted in a high heavy vehicle percentage during COVID. Specifically, the heavy vehicle percentage in EBL, EBT, EBR, WBL, WBT, WBR, NBL, NBT, NBR, SBL, SBT, SBR lanes increased by 36%, 24%, 46%, 39%, 22%, 28%, 21%, 18%, 22%, 23%, +2%, +0%, respectively.  </w:t>
      </w:r>
    </w:p>
    <w:p>
      <w:pPr>
        <w:rPr>
          <w:lang w:eastAsia="en-US"/>
        </w:rPr>
      </w:pPr>
    </w:p>
    <w:p>
      <w:pPr>
        <w:rPr>
          <w:lang w:eastAsia="en-US"/>
        </w:rPr>
      </w:pPr>
      <w:r>
        <w:rPr>
          <w:lang w:eastAsia="en-US"/>
        </w:rPr>
        <w:t xml:space="preserve">This change in traffic volume and the percentage of heavy vehicles resulted in delay and a need for signal optimization. Using the volume data in Volumes, and signal timing data observed in the field, delay and level of service (LOS) were calculated in Synchro for six scenarios. Comparing the two existing scenarios, Scenario 1: Pre-COVID Existing and Scenario 4: COVID Existing, the LOS remained C, and the overall intersection with delay was 32.0 sec/veh Pre-COVID and 31.6 sec/veh during COVID; see  </w:t>
      </w:r>
      <w:r>
        <w:rPr>
          <w:lang w:eastAsia="en-US"/>
        </w:rPr>
        <w:fldChar w:fldCharType="begin"/>
      </w:r>
      <w:r>
        <w:rPr>
          <w:lang w:eastAsia="en-US"/>
        </w:rPr>
        <w:instrText xml:space="preserve"> REF _Ref69893700 \h </w:instrText>
      </w:r>
      <w:r>
        <w:rPr>
          <w:lang w:eastAsia="en-US"/>
        </w:rPr>
        <w:fldChar w:fldCharType="separate"/>
      </w:r>
      <w:r>
        <w:t>TABLE 4</w:t>
      </w:r>
      <w:r>
        <w:rPr>
          <w:lang w:eastAsia="en-US"/>
        </w:rPr>
        <w:fldChar w:fldCharType="end"/>
      </w:r>
      <w:r>
        <w:rPr>
          <w:lang w:eastAsia="en-US"/>
        </w:rPr>
        <w:t>.</w:t>
      </w:r>
    </w:p>
    <w:p>
      <w:pPr>
        <w:rPr>
          <w:lang w:eastAsia="en-US"/>
        </w:rPr>
      </w:pPr>
    </w:p>
    <w:p>
      <w:pPr>
        <w:pStyle w:val="4"/>
      </w:pPr>
      <w:r>
        <w:t>Summary of Contribution</w:t>
      </w:r>
    </w:p>
    <w:p>
      <w:pPr>
        <w:rPr>
          <w:lang w:eastAsia="en-US"/>
        </w:rPr>
      </w:pPr>
      <w:r>
        <w:rPr>
          <w:lang w:eastAsia="en-US"/>
        </w:rPr>
        <w:t>The research contributed to two main areas: (1) increase the understanding of how the COVID-19 pandemic impacted areas with high freight volumes, and (2) provided a methodology for combining multiple performance metrics into a single objective. A methodology was developed to calculate the delay and the cost of carbon monoxide (CO), volatile organic compounds (VOCs), and nitrogen oxide (NOx) emissions.</w:t>
      </w:r>
    </w:p>
    <w:p>
      <w:pPr>
        <w:rPr>
          <w:lang w:eastAsia="en-US"/>
        </w:rPr>
      </w:pPr>
      <w:r>
        <w:rPr>
          <w:lang w:eastAsia="en-US"/>
        </w:rPr>
        <w:t>The COVID analysis showed that the shift to teleworking and reliance on e-commerce impacted the volume and modal split of traffic and demonstrated the need for signal adaption during disruptive events. The findings of this study could provide useful guidance to traffic engineering professionals and policymakers to prepare for a future crisis that can disrupt the traffic system. Future research could focus on more efficient computational algorithm techniques to solve traffic signal optimization during disruptive events.</w:t>
      </w:r>
    </w:p>
    <w:p>
      <w:pPr>
        <w:rPr>
          <w:lang w:eastAsia="en-US"/>
        </w:rPr>
      </w:pPr>
    </w:p>
    <w:p>
      <w:pPr>
        <w:pStyle w:val="3"/>
        <w:rPr>
          <w:lang w:eastAsia="en-US"/>
        </w:rPr>
      </w:pPr>
      <w:r>
        <w:rPr>
          <w:lang w:eastAsia="en-US"/>
        </w:rPr>
        <w:t>author contributions</w:t>
      </w:r>
    </w:p>
    <w:p>
      <w:pPr>
        <w:rPr>
          <w:lang w:eastAsia="en-US"/>
        </w:rPr>
      </w:pPr>
      <w:r>
        <w:rPr>
          <w:lang w:eastAsia="en-US"/>
        </w:rPr>
        <w:t>All authors contributed to all sections of this report and have reviewed the results and approved the final version of the manuscript.</w:t>
      </w:r>
    </w:p>
    <w:p>
      <w:pPr>
        <w:rPr>
          <w:lang w:eastAsia="en-US"/>
        </w:rPr>
      </w:pPr>
    </w:p>
    <w:p>
      <w:pPr>
        <w:pStyle w:val="3"/>
        <w:rPr>
          <w:lang w:eastAsia="en-US"/>
        </w:rPr>
      </w:pPr>
      <w:r>
        <w:rPr>
          <w:lang w:eastAsia="en-US"/>
        </w:rPr>
        <w:t>REFERENCES</w:t>
      </w:r>
    </w:p>
    <w:p>
      <w:pPr>
        <w:pStyle w:val="101"/>
      </w:pPr>
      <w:r>
        <w:fldChar w:fldCharType="begin"/>
      </w:r>
      <w:r>
        <w:instrText xml:space="preserve"> ADDIN ZOTERO_BIBL {"uncited":[],"omitted":[],"custom":[]} CSL_BIBLIOGRAPHY </w:instrText>
      </w:r>
      <w:r>
        <w:fldChar w:fldCharType="separate"/>
      </w:r>
      <w:r>
        <w:t xml:space="preserve">1. </w:t>
      </w:r>
      <w:r>
        <w:tab/>
      </w:r>
      <w:r>
        <w:t xml:space="preserve">Hendrickson, C., &amp; Rilett, L. R. (2020). </w:t>
      </w:r>
      <w:r>
        <w:rPr>
          <w:i/>
          <w:iCs/>
        </w:rPr>
        <w:t>The COVID-19 pandemic and transportation engineering</w:t>
      </w:r>
      <w:r>
        <w:t xml:space="preserve">. American Society of Civil Engineers. https://ascelibrary.org/doi/full/10.1061/JTEPBS.0000418.AEA Technology Environment. (2005). </w:t>
      </w:r>
      <w:r>
        <w:rPr>
          <w:i/>
          <w:iCs/>
        </w:rPr>
        <w:t>Damages per tonne emission of PM2.5, NH3, SO2, NOx and VOCs from each EU25 Member State (excluding Cyprus) and surrounding seas</w:t>
      </w:r>
      <w:r>
        <w:t>.</w:t>
      </w:r>
    </w:p>
    <w:p>
      <w:pPr>
        <w:pStyle w:val="101"/>
      </w:pPr>
      <w:r>
        <w:t xml:space="preserve">2. </w:t>
      </w:r>
      <w:r>
        <w:tab/>
      </w:r>
      <w:r>
        <w:t xml:space="preserve">Al-Turki, M., Jamal, A., Al-Ahmadi, H. M., Al-Sughaiyer, M. A., &amp; Zahid, M. (2020). On the potential impacts of smart traffic control for delay, fuel energy consumption, and emissions: An NSGA-II-based optimization case study from Dhahran, Saudi Arabia. </w:t>
      </w:r>
      <w:r>
        <w:rPr>
          <w:i/>
          <w:iCs/>
        </w:rPr>
        <w:t>Sustainability</w:t>
      </w:r>
      <w:r>
        <w:t xml:space="preserve">, </w:t>
      </w:r>
      <w:r>
        <w:rPr>
          <w:i/>
          <w:iCs/>
        </w:rPr>
        <w:t>12</w:t>
      </w:r>
      <w:r>
        <w:t>(18), 7394. https://doi.org/10.3390/su12187394.</w:t>
      </w:r>
    </w:p>
    <w:p>
      <w:pPr>
        <w:pStyle w:val="101"/>
      </w:pPr>
      <w:r>
        <w:t xml:space="preserve">3. </w:t>
      </w:r>
      <w:r>
        <w:tab/>
      </w:r>
      <w:r>
        <w:t xml:space="preserve">Hendrickson, C., &amp; Rilett, L. R. (2020). </w:t>
      </w:r>
      <w:r>
        <w:rPr>
          <w:i/>
          <w:iCs/>
        </w:rPr>
        <w:t>The COVID-19 pandemic and transportation engineering</w:t>
      </w:r>
      <w:r>
        <w:t xml:space="preserve">. American Society of Civil Engineers. https://ascelibrary.org/doi/full/10.1061/JTEPBS.0000418.AEA Technology Environment. (2005). </w:t>
      </w:r>
      <w:r>
        <w:rPr>
          <w:i/>
          <w:iCs/>
        </w:rPr>
        <w:t>Damages per tonne emission of PM2.5, NH3, SO2, NOx and VOCs from each EU25 Member State (excluding Cyprus) and surrounding seas</w:t>
      </w:r>
      <w:r>
        <w:t>.</w:t>
      </w:r>
    </w:p>
    <w:p>
      <w:pPr>
        <w:pStyle w:val="101"/>
      </w:pPr>
      <w:r>
        <w:t>4.</w:t>
      </w:r>
      <w:r>
        <w:tab/>
      </w:r>
      <w:r>
        <w:t xml:space="preserve">Liu, Z., &amp; Stern, R. (2021). Quantifying the traffic impacts of the COVID-19 shutdown. </w:t>
      </w:r>
      <w:r>
        <w:rPr>
          <w:i/>
          <w:iCs/>
        </w:rPr>
        <w:t>Journal of Transportation Engineering, Part A: Systems</w:t>
      </w:r>
      <w:r>
        <w:t xml:space="preserve">, </w:t>
      </w:r>
      <w:r>
        <w:rPr>
          <w:i/>
          <w:iCs/>
        </w:rPr>
        <w:t>147</w:t>
      </w:r>
      <w:r>
        <w:t>(5), 04021014. https://ascelibrary.org/doi/10.1061/JTEPBS.0000527.</w:t>
      </w:r>
    </w:p>
    <w:p>
      <w:pPr>
        <w:pStyle w:val="101"/>
        <w:ind w:left="500" w:hanging="500"/>
      </w:pPr>
      <w:r>
        <w:t>5.</w:t>
      </w:r>
      <w:r>
        <w:tab/>
      </w:r>
      <w:r>
        <w:t xml:space="preserve">DelDot. (2014). </w:t>
      </w:r>
      <w:r>
        <w:rPr>
          <w:i/>
          <w:iCs/>
        </w:rPr>
        <w:t>Estimating Vehicle Emissions in Signalized Networks with Synchro/SimTraffic</w:t>
      </w:r>
      <w:r>
        <w:t>.</w:t>
      </w:r>
    </w:p>
    <w:p>
      <w:pPr>
        <w:pStyle w:val="101"/>
      </w:pPr>
      <w:r>
        <w:t xml:space="preserve">6. </w:t>
      </w:r>
      <w:r>
        <w:tab/>
      </w:r>
      <w:r>
        <w:t xml:space="preserve">Victoria Transport Policy Institute. (2011). </w:t>
      </w:r>
      <w:r>
        <w:rPr>
          <w:i/>
          <w:iCs/>
        </w:rPr>
        <w:t>Transportation cost and benefit analysis II – air pollution costs</w:t>
      </w:r>
      <w:r>
        <w:t>. Victoria Transport Policy Institute.</w:t>
      </w:r>
    </w:p>
    <w:p>
      <w:pPr>
        <w:pStyle w:val="101"/>
      </w:pPr>
      <w:r>
        <w:t xml:space="preserve">7. </w:t>
      </w:r>
      <w:r>
        <w:tab/>
      </w:r>
      <w:r>
        <w:t xml:space="preserve">AEA Technology Environment. (2005). </w:t>
      </w:r>
      <w:r>
        <w:rPr>
          <w:i/>
          <w:iCs/>
        </w:rPr>
        <w:t>Damages per tonne emission of PM2.5, NH3, SO2, NOx and VOCs from each EU25 Member State (excluding Cyprus) and surrounding seas</w:t>
      </w:r>
      <w:r>
        <w:t>.</w:t>
      </w:r>
    </w:p>
    <w:p/>
    <w:p>
      <w:r>
        <w:fldChar w:fldCharType="end"/>
      </w:r>
    </w:p>
    <w:sectPr>
      <w:pgSz w:w="12240" w:h="15840"/>
      <w:pgMar w:top="1138" w:right="1440" w:bottom="1440" w:left="1440" w:header="706" w:footer="70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Nyala">
    <w:panose1 w:val="02000504070300020003"/>
    <w:charset w:val="00"/>
    <w:family w:val="auto"/>
    <w:pitch w:val="default"/>
    <w:sig w:usb0="A000006F" w:usb1="00000000" w:usb2="00000800" w:usb3="00000000" w:csb0="00000093"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Vrinda">
    <w:panose1 w:val="020B0502040204020203"/>
    <w:charset w:val="00"/>
    <w:family w:val="swiss"/>
    <w:pitch w:val="default"/>
    <w:sig w:usb0="00010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Lucida Bright">
    <w:altName w:val="Segoe Print"/>
    <w:panose1 w:val="02040602050505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9"/>
      </w:pPr>
      <w:r>
        <w:rPr>
          <w:rStyle w:val="60"/>
        </w:rPr>
        <w:footnoteRef/>
      </w:r>
      <w:r>
        <w:t xml:space="preserve"> https://www.bls.gov/data/inflation_calculator.htm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Walter, Chavis and Oladele</w:t>
    </w:r>
    <w:r>
      <w:tab/>
    </w:r>
    <w:r>
      <w:tab/>
    </w:r>
    <w:r>
      <w:fldChar w:fldCharType="begin"/>
    </w:r>
    <w:r>
      <w:instrText xml:space="preserve"> PAGE   \* MERGEFORMAT </w:instrText>
    </w:r>
    <w:r>
      <w:fldChar w:fldCharType="separate"/>
    </w:r>
    <w:r>
      <w:t>12</w:t>
    </w:r>
    <w:r>
      <w:fldChar w:fldCharType="end"/>
    </w:r>
  </w:p>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843B2"/>
    <w:multiLevelType w:val="multilevel"/>
    <w:tmpl w:val="127843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74237"/>
    <w:multiLevelType w:val="singleLevel"/>
    <w:tmpl w:val="22474237"/>
    <w:lvl w:ilvl="0" w:tentative="0">
      <w:start w:val="1"/>
      <w:numFmt w:val="decimal"/>
      <w:pStyle w:val="76"/>
      <w:lvlText w:val="%1."/>
      <w:lvlJc w:val="left"/>
      <w:pPr>
        <w:tabs>
          <w:tab w:val="left" w:pos="360"/>
        </w:tabs>
        <w:ind w:left="284" w:hanging="284"/>
      </w:pPr>
      <w:rPr>
        <w:rFonts w:hint="default"/>
      </w:rPr>
    </w:lvl>
  </w:abstractNum>
  <w:abstractNum w:abstractNumId="2">
    <w:nsid w:val="244D5B2B"/>
    <w:multiLevelType w:val="multilevel"/>
    <w:tmpl w:val="244D5B2B"/>
    <w:lvl w:ilvl="0" w:tentative="0">
      <w:start w:val="1"/>
      <w:numFmt w:val="bullet"/>
      <w:pStyle w:val="75"/>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2792C45"/>
    <w:multiLevelType w:val="multilevel"/>
    <w:tmpl w:val="52792C45"/>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3.%2.   "/>
      <w:lvlJc w:val="left"/>
      <w:pPr>
        <w:tabs>
          <w:tab w:val="left" w:pos="720"/>
        </w:tabs>
        <w:ind w:left="720" w:hanging="720"/>
      </w:pPr>
      <w:rPr>
        <w:rFonts w:hint="default"/>
      </w:rPr>
    </w:lvl>
    <w:lvl w:ilvl="3" w:tentative="0">
      <w:start w:val="1"/>
      <w:numFmt w:val="decimal"/>
      <w:pStyle w:val="6"/>
      <w:lvlText w:val="%1.%2.%3.%4"/>
      <w:lvlJc w:val="left"/>
      <w:pPr>
        <w:tabs>
          <w:tab w:val="left" w:pos="864"/>
        </w:tabs>
        <w:ind w:left="864" w:hanging="864"/>
      </w:pPr>
      <w:rPr>
        <w:rFonts w:hint="default"/>
      </w:rPr>
    </w:lvl>
    <w:lvl w:ilvl="4" w:tentative="0">
      <w:start w:val="1"/>
      <w:numFmt w:val="decimal"/>
      <w:pStyle w:val="7"/>
      <w:lvlText w:val="%1.%2.%3.%4.%5"/>
      <w:lvlJc w:val="left"/>
      <w:pPr>
        <w:tabs>
          <w:tab w:val="left" w:pos="1008"/>
        </w:tabs>
        <w:ind w:left="1008" w:hanging="1008"/>
      </w:pPr>
      <w:rPr>
        <w:rFonts w:hint="default"/>
      </w:rPr>
    </w:lvl>
    <w:lvl w:ilvl="5" w:tentative="0">
      <w:start w:val="1"/>
      <w:numFmt w:val="decimal"/>
      <w:pStyle w:val="8"/>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drawingGridHorizontalSpacing w:val="110"/>
  <w:drawingGridVerticalSpacing w:val="299"/>
  <w:displayHorizontalDrawingGridEvery w:val="0"/>
  <w:characterSpacingControl w:val="compressPunctuation"/>
  <w:footnotePr>
    <w:footnote w:id="2"/>
    <w:footnote w:id="3"/>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xNzY2MDQxtjQyszRT0lEKTi0uzszPAykwrAUA5fp06CwAAAA="/>
  </w:docVars>
  <w:rsids>
    <w:rsidRoot w:val="00910905"/>
    <w:rsid w:val="00001F27"/>
    <w:rsid w:val="00004995"/>
    <w:rsid w:val="00005CA2"/>
    <w:rsid w:val="0000628C"/>
    <w:rsid w:val="00007ED5"/>
    <w:rsid w:val="00010AEA"/>
    <w:rsid w:val="00012B0D"/>
    <w:rsid w:val="00013728"/>
    <w:rsid w:val="00014997"/>
    <w:rsid w:val="0001510D"/>
    <w:rsid w:val="000155A0"/>
    <w:rsid w:val="000160E3"/>
    <w:rsid w:val="0001646D"/>
    <w:rsid w:val="000167D7"/>
    <w:rsid w:val="00021F20"/>
    <w:rsid w:val="00022175"/>
    <w:rsid w:val="00022AB1"/>
    <w:rsid w:val="000231B1"/>
    <w:rsid w:val="000235AB"/>
    <w:rsid w:val="000256C4"/>
    <w:rsid w:val="00027C57"/>
    <w:rsid w:val="0003088A"/>
    <w:rsid w:val="000310B0"/>
    <w:rsid w:val="0003137B"/>
    <w:rsid w:val="00031A6E"/>
    <w:rsid w:val="000350AA"/>
    <w:rsid w:val="00035F67"/>
    <w:rsid w:val="00036863"/>
    <w:rsid w:val="000379A3"/>
    <w:rsid w:val="00040017"/>
    <w:rsid w:val="000443AC"/>
    <w:rsid w:val="0004462E"/>
    <w:rsid w:val="0004558A"/>
    <w:rsid w:val="000471B8"/>
    <w:rsid w:val="00050747"/>
    <w:rsid w:val="000509D8"/>
    <w:rsid w:val="00050D12"/>
    <w:rsid w:val="00050E94"/>
    <w:rsid w:val="00050F7A"/>
    <w:rsid w:val="00051270"/>
    <w:rsid w:val="00052F4E"/>
    <w:rsid w:val="00054172"/>
    <w:rsid w:val="00055C8B"/>
    <w:rsid w:val="00055D1D"/>
    <w:rsid w:val="00056E74"/>
    <w:rsid w:val="00057851"/>
    <w:rsid w:val="00060AF7"/>
    <w:rsid w:val="00062331"/>
    <w:rsid w:val="00063587"/>
    <w:rsid w:val="0006383A"/>
    <w:rsid w:val="000642C7"/>
    <w:rsid w:val="00065699"/>
    <w:rsid w:val="00066643"/>
    <w:rsid w:val="00066EDD"/>
    <w:rsid w:val="0006735A"/>
    <w:rsid w:val="00072945"/>
    <w:rsid w:val="00072E6E"/>
    <w:rsid w:val="00075053"/>
    <w:rsid w:val="000755FD"/>
    <w:rsid w:val="00076C1D"/>
    <w:rsid w:val="00082031"/>
    <w:rsid w:val="00082610"/>
    <w:rsid w:val="00083AF9"/>
    <w:rsid w:val="00084F9A"/>
    <w:rsid w:val="000879FE"/>
    <w:rsid w:val="00087AAC"/>
    <w:rsid w:val="00087ACF"/>
    <w:rsid w:val="00091B63"/>
    <w:rsid w:val="00093C04"/>
    <w:rsid w:val="00094933"/>
    <w:rsid w:val="00096AB3"/>
    <w:rsid w:val="000A02D8"/>
    <w:rsid w:val="000A03C4"/>
    <w:rsid w:val="000A18D0"/>
    <w:rsid w:val="000A3E26"/>
    <w:rsid w:val="000A573C"/>
    <w:rsid w:val="000A577B"/>
    <w:rsid w:val="000A58FF"/>
    <w:rsid w:val="000B1D8E"/>
    <w:rsid w:val="000B32DA"/>
    <w:rsid w:val="000B4374"/>
    <w:rsid w:val="000B6829"/>
    <w:rsid w:val="000C02CE"/>
    <w:rsid w:val="000C3CFB"/>
    <w:rsid w:val="000C6B09"/>
    <w:rsid w:val="000D19E9"/>
    <w:rsid w:val="000D25FB"/>
    <w:rsid w:val="000D2BA4"/>
    <w:rsid w:val="000D36DA"/>
    <w:rsid w:val="000D3D5E"/>
    <w:rsid w:val="000D4A9C"/>
    <w:rsid w:val="000D652D"/>
    <w:rsid w:val="000D677A"/>
    <w:rsid w:val="000D67DA"/>
    <w:rsid w:val="000D6CD3"/>
    <w:rsid w:val="000D72DE"/>
    <w:rsid w:val="000E12DB"/>
    <w:rsid w:val="000E303C"/>
    <w:rsid w:val="000E39A9"/>
    <w:rsid w:val="000E3D82"/>
    <w:rsid w:val="000E668F"/>
    <w:rsid w:val="000E7993"/>
    <w:rsid w:val="000F0180"/>
    <w:rsid w:val="000F1B79"/>
    <w:rsid w:val="000F24CF"/>
    <w:rsid w:val="000F3351"/>
    <w:rsid w:val="000F40F0"/>
    <w:rsid w:val="000F65A7"/>
    <w:rsid w:val="001044A3"/>
    <w:rsid w:val="00113193"/>
    <w:rsid w:val="00116778"/>
    <w:rsid w:val="001173D8"/>
    <w:rsid w:val="001174C1"/>
    <w:rsid w:val="00120A8C"/>
    <w:rsid w:val="00120D4E"/>
    <w:rsid w:val="00121F56"/>
    <w:rsid w:val="00122537"/>
    <w:rsid w:val="001237F5"/>
    <w:rsid w:val="00123F87"/>
    <w:rsid w:val="001263B6"/>
    <w:rsid w:val="0013095C"/>
    <w:rsid w:val="0013429F"/>
    <w:rsid w:val="00136477"/>
    <w:rsid w:val="00136F25"/>
    <w:rsid w:val="00141678"/>
    <w:rsid w:val="001416C4"/>
    <w:rsid w:val="001417E7"/>
    <w:rsid w:val="00143669"/>
    <w:rsid w:val="00143EFD"/>
    <w:rsid w:val="0014629A"/>
    <w:rsid w:val="0014700D"/>
    <w:rsid w:val="0015045F"/>
    <w:rsid w:val="00151805"/>
    <w:rsid w:val="001519BC"/>
    <w:rsid w:val="001537DA"/>
    <w:rsid w:val="0015449C"/>
    <w:rsid w:val="00154FA7"/>
    <w:rsid w:val="00155814"/>
    <w:rsid w:val="00155F00"/>
    <w:rsid w:val="001561A6"/>
    <w:rsid w:val="00160A33"/>
    <w:rsid w:val="001618EE"/>
    <w:rsid w:val="00164B1B"/>
    <w:rsid w:val="001657A1"/>
    <w:rsid w:val="00166B92"/>
    <w:rsid w:val="00166D59"/>
    <w:rsid w:val="00167320"/>
    <w:rsid w:val="00170945"/>
    <w:rsid w:val="001713DB"/>
    <w:rsid w:val="0017236B"/>
    <w:rsid w:val="00175AD9"/>
    <w:rsid w:val="001802E7"/>
    <w:rsid w:val="00181CEA"/>
    <w:rsid w:val="00182002"/>
    <w:rsid w:val="0018314F"/>
    <w:rsid w:val="00184AA1"/>
    <w:rsid w:val="00187950"/>
    <w:rsid w:val="001901FF"/>
    <w:rsid w:val="00190818"/>
    <w:rsid w:val="00190DE3"/>
    <w:rsid w:val="00190E9B"/>
    <w:rsid w:val="00191B9D"/>
    <w:rsid w:val="00192D04"/>
    <w:rsid w:val="0019393E"/>
    <w:rsid w:val="0019431E"/>
    <w:rsid w:val="001946D6"/>
    <w:rsid w:val="00194E53"/>
    <w:rsid w:val="001A01BF"/>
    <w:rsid w:val="001A0CF6"/>
    <w:rsid w:val="001A1C98"/>
    <w:rsid w:val="001A26DD"/>
    <w:rsid w:val="001A4172"/>
    <w:rsid w:val="001B14F7"/>
    <w:rsid w:val="001B187F"/>
    <w:rsid w:val="001B22AB"/>
    <w:rsid w:val="001B6E1E"/>
    <w:rsid w:val="001B721F"/>
    <w:rsid w:val="001B72D9"/>
    <w:rsid w:val="001C2DDE"/>
    <w:rsid w:val="001C45D3"/>
    <w:rsid w:val="001D046B"/>
    <w:rsid w:val="001D1D97"/>
    <w:rsid w:val="001D4DD7"/>
    <w:rsid w:val="001D5BFF"/>
    <w:rsid w:val="001D6536"/>
    <w:rsid w:val="001D66C1"/>
    <w:rsid w:val="001D79E4"/>
    <w:rsid w:val="001E08C8"/>
    <w:rsid w:val="001E0D0E"/>
    <w:rsid w:val="001E0F9E"/>
    <w:rsid w:val="001E1194"/>
    <w:rsid w:val="001E3E58"/>
    <w:rsid w:val="001E63DF"/>
    <w:rsid w:val="001E79B6"/>
    <w:rsid w:val="001F2595"/>
    <w:rsid w:val="001F26C3"/>
    <w:rsid w:val="001F3711"/>
    <w:rsid w:val="001F4501"/>
    <w:rsid w:val="001F6DBD"/>
    <w:rsid w:val="001F7F2C"/>
    <w:rsid w:val="002023E9"/>
    <w:rsid w:val="00203D09"/>
    <w:rsid w:val="002050DE"/>
    <w:rsid w:val="0020516A"/>
    <w:rsid w:val="00207572"/>
    <w:rsid w:val="00207E31"/>
    <w:rsid w:val="00210E0A"/>
    <w:rsid w:val="00210F53"/>
    <w:rsid w:val="0021239A"/>
    <w:rsid w:val="00212745"/>
    <w:rsid w:val="00213D4F"/>
    <w:rsid w:val="002149AC"/>
    <w:rsid w:val="002162FD"/>
    <w:rsid w:val="0021693B"/>
    <w:rsid w:val="00216F08"/>
    <w:rsid w:val="00217043"/>
    <w:rsid w:val="002174A9"/>
    <w:rsid w:val="00217C01"/>
    <w:rsid w:val="002234CC"/>
    <w:rsid w:val="002242E0"/>
    <w:rsid w:val="002247BA"/>
    <w:rsid w:val="00225AA5"/>
    <w:rsid w:val="00225B49"/>
    <w:rsid w:val="00226857"/>
    <w:rsid w:val="00230C75"/>
    <w:rsid w:val="002334B1"/>
    <w:rsid w:val="00234006"/>
    <w:rsid w:val="0023506D"/>
    <w:rsid w:val="0023566B"/>
    <w:rsid w:val="00235868"/>
    <w:rsid w:val="00237048"/>
    <w:rsid w:val="00241C59"/>
    <w:rsid w:val="00242219"/>
    <w:rsid w:val="00242632"/>
    <w:rsid w:val="0024272C"/>
    <w:rsid w:val="002439D0"/>
    <w:rsid w:val="00243CD3"/>
    <w:rsid w:val="00245F27"/>
    <w:rsid w:val="002507D7"/>
    <w:rsid w:val="0025181A"/>
    <w:rsid w:val="002528B3"/>
    <w:rsid w:val="0025390B"/>
    <w:rsid w:val="0025477D"/>
    <w:rsid w:val="00257A79"/>
    <w:rsid w:val="00257E7C"/>
    <w:rsid w:val="002607B1"/>
    <w:rsid w:val="00260D76"/>
    <w:rsid w:val="00261FCE"/>
    <w:rsid w:val="00262E36"/>
    <w:rsid w:val="002631CA"/>
    <w:rsid w:val="00264562"/>
    <w:rsid w:val="00267D48"/>
    <w:rsid w:val="002706BB"/>
    <w:rsid w:val="00271F99"/>
    <w:rsid w:val="002722DB"/>
    <w:rsid w:val="002766D0"/>
    <w:rsid w:val="00276872"/>
    <w:rsid w:val="0028231F"/>
    <w:rsid w:val="00284909"/>
    <w:rsid w:val="00284D6E"/>
    <w:rsid w:val="002854AD"/>
    <w:rsid w:val="0028614B"/>
    <w:rsid w:val="00287358"/>
    <w:rsid w:val="00290389"/>
    <w:rsid w:val="00290C8A"/>
    <w:rsid w:val="00292100"/>
    <w:rsid w:val="00293AD6"/>
    <w:rsid w:val="00293DFC"/>
    <w:rsid w:val="00295F70"/>
    <w:rsid w:val="00296A08"/>
    <w:rsid w:val="002A076D"/>
    <w:rsid w:val="002A169D"/>
    <w:rsid w:val="002A18DB"/>
    <w:rsid w:val="002A1C59"/>
    <w:rsid w:val="002A4964"/>
    <w:rsid w:val="002A5753"/>
    <w:rsid w:val="002B0695"/>
    <w:rsid w:val="002B31BB"/>
    <w:rsid w:val="002B490E"/>
    <w:rsid w:val="002B4BEE"/>
    <w:rsid w:val="002B5184"/>
    <w:rsid w:val="002B54C1"/>
    <w:rsid w:val="002B5FAA"/>
    <w:rsid w:val="002B62C8"/>
    <w:rsid w:val="002C05B9"/>
    <w:rsid w:val="002C222A"/>
    <w:rsid w:val="002C2BC0"/>
    <w:rsid w:val="002C304B"/>
    <w:rsid w:val="002C677E"/>
    <w:rsid w:val="002C6B83"/>
    <w:rsid w:val="002C7A24"/>
    <w:rsid w:val="002D231D"/>
    <w:rsid w:val="002D24C6"/>
    <w:rsid w:val="002D283E"/>
    <w:rsid w:val="002D309C"/>
    <w:rsid w:val="002D321F"/>
    <w:rsid w:val="002D6E28"/>
    <w:rsid w:val="002E0799"/>
    <w:rsid w:val="002E16B9"/>
    <w:rsid w:val="002E170E"/>
    <w:rsid w:val="002E3E46"/>
    <w:rsid w:val="002E5BAC"/>
    <w:rsid w:val="002E6592"/>
    <w:rsid w:val="002F26F6"/>
    <w:rsid w:val="002F29DA"/>
    <w:rsid w:val="002F2C02"/>
    <w:rsid w:val="002F566C"/>
    <w:rsid w:val="002F63B1"/>
    <w:rsid w:val="003025F0"/>
    <w:rsid w:val="00303F40"/>
    <w:rsid w:val="00304EA8"/>
    <w:rsid w:val="00305453"/>
    <w:rsid w:val="003054D8"/>
    <w:rsid w:val="00306412"/>
    <w:rsid w:val="00310152"/>
    <w:rsid w:val="003112D5"/>
    <w:rsid w:val="00311727"/>
    <w:rsid w:val="00312C19"/>
    <w:rsid w:val="00313FC0"/>
    <w:rsid w:val="003144AF"/>
    <w:rsid w:val="00315901"/>
    <w:rsid w:val="00321703"/>
    <w:rsid w:val="00322102"/>
    <w:rsid w:val="00322EBF"/>
    <w:rsid w:val="003231C5"/>
    <w:rsid w:val="0032328A"/>
    <w:rsid w:val="00323698"/>
    <w:rsid w:val="003240A2"/>
    <w:rsid w:val="00325ABE"/>
    <w:rsid w:val="00330C72"/>
    <w:rsid w:val="00332213"/>
    <w:rsid w:val="00333B8C"/>
    <w:rsid w:val="00334230"/>
    <w:rsid w:val="00334577"/>
    <w:rsid w:val="00340A1B"/>
    <w:rsid w:val="003410D3"/>
    <w:rsid w:val="003411B6"/>
    <w:rsid w:val="003416CA"/>
    <w:rsid w:val="00342232"/>
    <w:rsid w:val="00343640"/>
    <w:rsid w:val="00343F4B"/>
    <w:rsid w:val="00344478"/>
    <w:rsid w:val="00344C6B"/>
    <w:rsid w:val="00344FC1"/>
    <w:rsid w:val="003451CC"/>
    <w:rsid w:val="00347BB5"/>
    <w:rsid w:val="00350A45"/>
    <w:rsid w:val="00350FAD"/>
    <w:rsid w:val="00351D76"/>
    <w:rsid w:val="00352243"/>
    <w:rsid w:val="003530EE"/>
    <w:rsid w:val="003531C7"/>
    <w:rsid w:val="003532DD"/>
    <w:rsid w:val="00353E68"/>
    <w:rsid w:val="0035532E"/>
    <w:rsid w:val="003577F0"/>
    <w:rsid w:val="00360F03"/>
    <w:rsid w:val="003618A9"/>
    <w:rsid w:val="00361C95"/>
    <w:rsid w:val="0036285C"/>
    <w:rsid w:val="0036528A"/>
    <w:rsid w:val="00370F7A"/>
    <w:rsid w:val="00371AC9"/>
    <w:rsid w:val="00371B4B"/>
    <w:rsid w:val="00371EE1"/>
    <w:rsid w:val="00372351"/>
    <w:rsid w:val="003743C7"/>
    <w:rsid w:val="00374E7D"/>
    <w:rsid w:val="003751E9"/>
    <w:rsid w:val="003758B4"/>
    <w:rsid w:val="00376810"/>
    <w:rsid w:val="00383B59"/>
    <w:rsid w:val="00386227"/>
    <w:rsid w:val="00387367"/>
    <w:rsid w:val="00387861"/>
    <w:rsid w:val="0039094B"/>
    <w:rsid w:val="00391F97"/>
    <w:rsid w:val="00392A47"/>
    <w:rsid w:val="003933DE"/>
    <w:rsid w:val="00394EE7"/>
    <w:rsid w:val="003973F1"/>
    <w:rsid w:val="003A09B3"/>
    <w:rsid w:val="003A2349"/>
    <w:rsid w:val="003A2B59"/>
    <w:rsid w:val="003A526F"/>
    <w:rsid w:val="003A5F44"/>
    <w:rsid w:val="003B03B8"/>
    <w:rsid w:val="003B196F"/>
    <w:rsid w:val="003B3B2C"/>
    <w:rsid w:val="003B4A72"/>
    <w:rsid w:val="003B565B"/>
    <w:rsid w:val="003B5E10"/>
    <w:rsid w:val="003B6BF3"/>
    <w:rsid w:val="003C0F01"/>
    <w:rsid w:val="003C270D"/>
    <w:rsid w:val="003C28A1"/>
    <w:rsid w:val="003C36B1"/>
    <w:rsid w:val="003C753A"/>
    <w:rsid w:val="003D13DC"/>
    <w:rsid w:val="003D4429"/>
    <w:rsid w:val="003D465C"/>
    <w:rsid w:val="003E0B8F"/>
    <w:rsid w:val="003E2401"/>
    <w:rsid w:val="003E33E7"/>
    <w:rsid w:val="003E3A53"/>
    <w:rsid w:val="003E3DC3"/>
    <w:rsid w:val="003E47F2"/>
    <w:rsid w:val="003E4A74"/>
    <w:rsid w:val="003F0E08"/>
    <w:rsid w:val="003F39EC"/>
    <w:rsid w:val="003F510A"/>
    <w:rsid w:val="003F699D"/>
    <w:rsid w:val="003F777D"/>
    <w:rsid w:val="003F7FB6"/>
    <w:rsid w:val="00400B55"/>
    <w:rsid w:val="00400DB7"/>
    <w:rsid w:val="00401839"/>
    <w:rsid w:val="00401F1E"/>
    <w:rsid w:val="00401F96"/>
    <w:rsid w:val="0040209F"/>
    <w:rsid w:val="00403328"/>
    <w:rsid w:val="00404A3C"/>
    <w:rsid w:val="00406877"/>
    <w:rsid w:val="0041057E"/>
    <w:rsid w:val="00410FA3"/>
    <w:rsid w:val="00412F2D"/>
    <w:rsid w:val="00412F88"/>
    <w:rsid w:val="004151EA"/>
    <w:rsid w:val="00415832"/>
    <w:rsid w:val="00416C1E"/>
    <w:rsid w:val="00416C78"/>
    <w:rsid w:val="00417EEC"/>
    <w:rsid w:val="00420798"/>
    <w:rsid w:val="00421545"/>
    <w:rsid w:val="00422635"/>
    <w:rsid w:val="00425573"/>
    <w:rsid w:val="00426344"/>
    <w:rsid w:val="00426AED"/>
    <w:rsid w:val="0042769F"/>
    <w:rsid w:val="00433C68"/>
    <w:rsid w:val="00435ED7"/>
    <w:rsid w:val="004371C5"/>
    <w:rsid w:val="00440253"/>
    <w:rsid w:val="00440B5F"/>
    <w:rsid w:val="00441A96"/>
    <w:rsid w:val="0044353B"/>
    <w:rsid w:val="00443D0B"/>
    <w:rsid w:val="00445100"/>
    <w:rsid w:val="00445CE9"/>
    <w:rsid w:val="00447223"/>
    <w:rsid w:val="00450143"/>
    <w:rsid w:val="0045086A"/>
    <w:rsid w:val="00450C02"/>
    <w:rsid w:val="00451429"/>
    <w:rsid w:val="004577DB"/>
    <w:rsid w:val="0045796E"/>
    <w:rsid w:val="004602DD"/>
    <w:rsid w:val="004607B9"/>
    <w:rsid w:val="00464AB8"/>
    <w:rsid w:val="00465B99"/>
    <w:rsid w:val="00466284"/>
    <w:rsid w:val="00467303"/>
    <w:rsid w:val="00470514"/>
    <w:rsid w:val="00471118"/>
    <w:rsid w:val="00471314"/>
    <w:rsid w:val="004728D8"/>
    <w:rsid w:val="00472A7E"/>
    <w:rsid w:val="00472B21"/>
    <w:rsid w:val="00474E4B"/>
    <w:rsid w:val="004819CC"/>
    <w:rsid w:val="004835C5"/>
    <w:rsid w:val="004854E2"/>
    <w:rsid w:val="00486B3C"/>
    <w:rsid w:val="00486EDE"/>
    <w:rsid w:val="004871F6"/>
    <w:rsid w:val="004900C2"/>
    <w:rsid w:val="00491F48"/>
    <w:rsid w:val="004956F2"/>
    <w:rsid w:val="00497580"/>
    <w:rsid w:val="004A06F1"/>
    <w:rsid w:val="004A0884"/>
    <w:rsid w:val="004A0B6E"/>
    <w:rsid w:val="004A3734"/>
    <w:rsid w:val="004A5566"/>
    <w:rsid w:val="004A59AA"/>
    <w:rsid w:val="004A6809"/>
    <w:rsid w:val="004A68BE"/>
    <w:rsid w:val="004B010F"/>
    <w:rsid w:val="004B2A39"/>
    <w:rsid w:val="004B343D"/>
    <w:rsid w:val="004B417F"/>
    <w:rsid w:val="004B42EA"/>
    <w:rsid w:val="004B468C"/>
    <w:rsid w:val="004B4B38"/>
    <w:rsid w:val="004B4BE3"/>
    <w:rsid w:val="004B5220"/>
    <w:rsid w:val="004B79AF"/>
    <w:rsid w:val="004B7BB6"/>
    <w:rsid w:val="004B7E97"/>
    <w:rsid w:val="004C4F5A"/>
    <w:rsid w:val="004C5F7B"/>
    <w:rsid w:val="004C6546"/>
    <w:rsid w:val="004C7AC6"/>
    <w:rsid w:val="004D0D22"/>
    <w:rsid w:val="004D3014"/>
    <w:rsid w:val="004D43BA"/>
    <w:rsid w:val="004D4632"/>
    <w:rsid w:val="004D7635"/>
    <w:rsid w:val="004E291D"/>
    <w:rsid w:val="004E301F"/>
    <w:rsid w:val="004E3325"/>
    <w:rsid w:val="00503969"/>
    <w:rsid w:val="00505FD5"/>
    <w:rsid w:val="005065E1"/>
    <w:rsid w:val="0051115A"/>
    <w:rsid w:val="00512A78"/>
    <w:rsid w:val="005153F5"/>
    <w:rsid w:val="00515F8D"/>
    <w:rsid w:val="005176EE"/>
    <w:rsid w:val="00524E71"/>
    <w:rsid w:val="00525ADB"/>
    <w:rsid w:val="00527055"/>
    <w:rsid w:val="00531027"/>
    <w:rsid w:val="00532504"/>
    <w:rsid w:val="0053271E"/>
    <w:rsid w:val="005360DB"/>
    <w:rsid w:val="005363A4"/>
    <w:rsid w:val="00537AE4"/>
    <w:rsid w:val="00540402"/>
    <w:rsid w:val="00540ADC"/>
    <w:rsid w:val="00541672"/>
    <w:rsid w:val="005433A6"/>
    <w:rsid w:val="00543529"/>
    <w:rsid w:val="00543CCB"/>
    <w:rsid w:val="00543D81"/>
    <w:rsid w:val="00544A82"/>
    <w:rsid w:val="005452E9"/>
    <w:rsid w:val="005454A6"/>
    <w:rsid w:val="00545F08"/>
    <w:rsid w:val="00546CDD"/>
    <w:rsid w:val="00546EE1"/>
    <w:rsid w:val="00550E48"/>
    <w:rsid w:val="00554705"/>
    <w:rsid w:val="005562C8"/>
    <w:rsid w:val="00556DBF"/>
    <w:rsid w:val="00556EAA"/>
    <w:rsid w:val="005579AD"/>
    <w:rsid w:val="00557ECC"/>
    <w:rsid w:val="0056186A"/>
    <w:rsid w:val="005620DC"/>
    <w:rsid w:val="0056238B"/>
    <w:rsid w:val="00562722"/>
    <w:rsid w:val="00563E16"/>
    <w:rsid w:val="00570E69"/>
    <w:rsid w:val="00572155"/>
    <w:rsid w:val="00572B5D"/>
    <w:rsid w:val="00572DD3"/>
    <w:rsid w:val="00573120"/>
    <w:rsid w:val="00573E6C"/>
    <w:rsid w:val="005753B1"/>
    <w:rsid w:val="005755AB"/>
    <w:rsid w:val="00576214"/>
    <w:rsid w:val="005766A8"/>
    <w:rsid w:val="0057737B"/>
    <w:rsid w:val="0057760E"/>
    <w:rsid w:val="0057792E"/>
    <w:rsid w:val="0058014B"/>
    <w:rsid w:val="005814C3"/>
    <w:rsid w:val="0058322A"/>
    <w:rsid w:val="005835E4"/>
    <w:rsid w:val="005837E6"/>
    <w:rsid w:val="00584A56"/>
    <w:rsid w:val="0059130A"/>
    <w:rsid w:val="00592DEB"/>
    <w:rsid w:val="00595423"/>
    <w:rsid w:val="005A0126"/>
    <w:rsid w:val="005A14A5"/>
    <w:rsid w:val="005A27EE"/>
    <w:rsid w:val="005A7553"/>
    <w:rsid w:val="005B272E"/>
    <w:rsid w:val="005B439B"/>
    <w:rsid w:val="005B4776"/>
    <w:rsid w:val="005B5CEC"/>
    <w:rsid w:val="005B798C"/>
    <w:rsid w:val="005B79F3"/>
    <w:rsid w:val="005C06BC"/>
    <w:rsid w:val="005C2132"/>
    <w:rsid w:val="005C32D0"/>
    <w:rsid w:val="005D0210"/>
    <w:rsid w:val="005D0E2A"/>
    <w:rsid w:val="005D2F38"/>
    <w:rsid w:val="005D3A8E"/>
    <w:rsid w:val="005D3FE5"/>
    <w:rsid w:val="005D41AA"/>
    <w:rsid w:val="005D631B"/>
    <w:rsid w:val="005D6D9B"/>
    <w:rsid w:val="005D72DA"/>
    <w:rsid w:val="005D754D"/>
    <w:rsid w:val="005D7B76"/>
    <w:rsid w:val="005E2514"/>
    <w:rsid w:val="005E4072"/>
    <w:rsid w:val="005E4EF2"/>
    <w:rsid w:val="005E6955"/>
    <w:rsid w:val="005E7B91"/>
    <w:rsid w:val="005F0A47"/>
    <w:rsid w:val="005F2BA9"/>
    <w:rsid w:val="005F33A4"/>
    <w:rsid w:val="005F542F"/>
    <w:rsid w:val="005F6787"/>
    <w:rsid w:val="005F6D44"/>
    <w:rsid w:val="00600A4C"/>
    <w:rsid w:val="00600CF7"/>
    <w:rsid w:val="006022D8"/>
    <w:rsid w:val="00603FEF"/>
    <w:rsid w:val="00604121"/>
    <w:rsid w:val="00604123"/>
    <w:rsid w:val="00604689"/>
    <w:rsid w:val="00606272"/>
    <w:rsid w:val="00606AE3"/>
    <w:rsid w:val="00607DC8"/>
    <w:rsid w:val="006109E1"/>
    <w:rsid w:val="0061114C"/>
    <w:rsid w:val="00612F93"/>
    <w:rsid w:val="006139A1"/>
    <w:rsid w:val="00615028"/>
    <w:rsid w:val="0061533F"/>
    <w:rsid w:val="00615C55"/>
    <w:rsid w:val="0061681F"/>
    <w:rsid w:val="00621FFC"/>
    <w:rsid w:val="006237C4"/>
    <w:rsid w:val="006254BF"/>
    <w:rsid w:val="00625A26"/>
    <w:rsid w:val="0063058C"/>
    <w:rsid w:val="006309F7"/>
    <w:rsid w:val="00631709"/>
    <w:rsid w:val="00633601"/>
    <w:rsid w:val="00633842"/>
    <w:rsid w:val="00633F04"/>
    <w:rsid w:val="00634C5D"/>
    <w:rsid w:val="006352BD"/>
    <w:rsid w:val="006353F5"/>
    <w:rsid w:val="00640116"/>
    <w:rsid w:val="006407B5"/>
    <w:rsid w:val="006409CE"/>
    <w:rsid w:val="00640E6B"/>
    <w:rsid w:val="00643803"/>
    <w:rsid w:val="00647B6F"/>
    <w:rsid w:val="0065004F"/>
    <w:rsid w:val="00652168"/>
    <w:rsid w:val="00652559"/>
    <w:rsid w:val="00655027"/>
    <w:rsid w:val="006575D5"/>
    <w:rsid w:val="0066166E"/>
    <w:rsid w:val="006623E6"/>
    <w:rsid w:val="00663549"/>
    <w:rsid w:val="00663CDE"/>
    <w:rsid w:val="00666F25"/>
    <w:rsid w:val="0066735C"/>
    <w:rsid w:val="006716B9"/>
    <w:rsid w:val="00671F58"/>
    <w:rsid w:val="00673EDC"/>
    <w:rsid w:val="006741B3"/>
    <w:rsid w:val="00675881"/>
    <w:rsid w:val="00675DA4"/>
    <w:rsid w:val="0067689B"/>
    <w:rsid w:val="006818D8"/>
    <w:rsid w:val="00682769"/>
    <w:rsid w:val="006831EF"/>
    <w:rsid w:val="006866C5"/>
    <w:rsid w:val="00686B92"/>
    <w:rsid w:val="00692B2C"/>
    <w:rsid w:val="0069343B"/>
    <w:rsid w:val="006966EF"/>
    <w:rsid w:val="0069670D"/>
    <w:rsid w:val="00696DF2"/>
    <w:rsid w:val="006A141D"/>
    <w:rsid w:val="006A158E"/>
    <w:rsid w:val="006A1CD6"/>
    <w:rsid w:val="006A32A1"/>
    <w:rsid w:val="006A604F"/>
    <w:rsid w:val="006A66BB"/>
    <w:rsid w:val="006A6C88"/>
    <w:rsid w:val="006A7676"/>
    <w:rsid w:val="006B0AD2"/>
    <w:rsid w:val="006B0BE6"/>
    <w:rsid w:val="006B18A4"/>
    <w:rsid w:val="006B2255"/>
    <w:rsid w:val="006B4155"/>
    <w:rsid w:val="006B56A9"/>
    <w:rsid w:val="006B6BDC"/>
    <w:rsid w:val="006B7AC0"/>
    <w:rsid w:val="006C0C42"/>
    <w:rsid w:val="006C3286"/>
    <w:rsid w:val="006C337C"/>
    <w:rsid w:val="006C4363"/>
    <w:rsid w:val="006C5D45"/>
    <w:rsid w:val="006C60C9"/>
    <w:rsid w:val="006D01F9"/>
    <w:rsid w:val="006D0CE0"/>
    <w:rsid w:val="006D1034"/>
    <w:rsid w:val="006D1099"/>
    <w:rsid w:val="006D15AF"/>
    <w:rsid w:val="006D1BCA"/>
    <w:rsid w:val="006D1FA0"/>
    <w:rsid w:val="006D397B"/>
    <w:rsid w:val="006D4B45"/>
    <w:rsid w:val="006D4FD8"/>
    <w:rsid w:val="006D602A"/>
    <w:rsid w:val="006D707F"/>
    <w:rsid w:val="006D73D2"/>
    <w:rsid w:val="006E0349"/>
    <w:rsid w:val="006E2B51"/>
    <w:rsid w:val="006E2C95"/>
    <w:rsid w:val="006E310A"/>
    <w:rsid w:val="006E378B"/>
    <w:rsid w:val="006E54FC"/>
    <w:rsid w:val="006E7BAF"/>
    <w:rsid w:val="006F050E"/>
    <w:rsid w:val="006F1620"/>
    <w:rsid w:val="006F1C8B"/>
    <w:rsid w:val="006F253C"/>
    <w:rsid w:val="006F5D82"/>
    <w:rsid w:val="006F5FE5"/>
    <w:rsid w:val="00700848"/>
    <w:rsid w:val="00700BCB"/>
    <w:rsid w:val="00701A81"/>
    <w:rsid w:val="00703314"/>
    <w:rsid w:val="00703CE7"/>
    <w:rsid w:val="00707094"/>
    <w:rsid w:val="00707384"/>
    <w:rsid w:val="00707B47"/>
    <w:rsid w:val="007108AE"/>
    <w:rsid w:val="00711C9E"/>
    <w:rsid w:val="007121B0"/>
    <w:rsid w:val="00712761"/>
    <w:rsid w:val="0071309C"/>
    <w:rsid w:val="00713290"/>
    <w:rsid w:val="007139D8"/>
    <w:rsid w:val="00713BD6"/>
    <w:rsid w:val="00713F98"/>
    <w:rsid w:val="00715216"/>
    <w:rsid w:val="007152FE"/>
    <w:rsid w:val="007159E6"/>
    <w:rsid w:val="00715B47"/>
    <w:rsid w:val="00716194"/>
    <w:rsid w:val="007168CD"/>
    <w:rsid w:val="0071738E"/>
    <w:rsid w:val="0071798D"/>
    <w:rsid w:val="00725047"/>
    <w:rsid w:val="00725F3E"/>
    <w:rsid w:val="00726E92"/>
    <w:rsid w:val="007322AD"/>
    <w:rsid w:val="00733ECC"/>
    <w:rsid w:val="00735BBF"/>
    <w:rsid w:val="00737048"/>
    <w:rsid w:val="00740034"/>
    <w:rsid w:val="00741178"/>
    <w:rsid w:val="00741280"/>
    <w:rsid w:val="00743058"/>
    <w:rsid w:val="0074343A"/>
    <w:rsid w:val="00743573"/>
    <w:rsid w:val="00743943"/>
    <w:rsid w:val="00743C3E"/>
    <w:rsid w:val="00743C73"/>
    <w:rsid w:val="0074542F"/>
    <w:rsid w:val="007519B7"/>
    <w:rsid w:val="00752065"/>
    <w:rsid w:val="007522D8"/>
    <w:rsid w:val="00754BB7"/>
    <w:rsid w:val="0075534A"/>
    <w:rsid w:val="00761F48"/>
    <w:rsid w:val="007642D0"/>
    <w:rsid w:val="00764752"/>
    <w:rsid w:val="00765044"/>
    <w:rsid w:val="007662C3"/>
    <w:rsid w:val="007730FF"/>
    <w:rsid w:val="00774640"/>
    <w:rsid w:val="00775146"/>
    <w:rsid w:val="00776D55"/>
    <w:rsid w:val="007801EA"/>
    <w:rsid w:val="00780504"/>
    <w:rsid w:val="00780CE8"/>
    <w:rsid w:val="00780EF6"/>
    <w:rsid w:val="007820CD"/>
    <w:rsid w:val="007827E2"/>
    <w:rsid w:val="00784035"/>
    <w:rsid w:val="00786646"/>
    <w:rsid w:val="00786836"/>
    <w:rsid w:val="00786A5D"/>
    <w:rsid w:val="00790BAC"/>
    <w:rsid w:val="0079322B"/>
    <w:rsid w:val="007943B9"/>
    <w:rsid w:val="007949F7"/>
    <w:rsid w:val="00795217"/>
    <w:rsid w:val="0079558F"/>
    <w:rsid w:val="00797258"/>
    <w:rsid w:val="00797902"/>
    <w:rsid w:val="007A15E0"/>
    <w:rsid w:val="007A1E3B"/>
    <w:rsid w:val="007A1F9A"/>
    <w:rsid w:val="007A4383"/>
    <w:rsid w:val="007B188F"/>
    <w:rsid w:val="007B1CFA"/>
    <w:rsid w:val="007B2162"/>
    <w:rsid w:val="007B2D35"/>
    <w:rsid w:val="007B555E"/>
    <w:rsid w:val="007B6FA5"/>
    <w:rsid w:val="007B71EB"/>
    <w:rsid w:val="007C047E"/>
    <w:rsid w:val="007C1933"/>
    <w:rsid w:val="007C1DFD"/>
    <w:rsid w:val="007C3899"/>
    <w:rsid w:val="007C479D"/>
    <w:rsid w:val="007C4934"/>
    <w:rsid w:val="007C5D17"/>
    <w:rsid w:val="007C6473"/>
    <w:rsid w:val="007C6CEF"/>
    <w:rsid w:val="007D1F5E"/>
    <w:rsid w:val="007D2A1D"/>
    <w:rsid w:val="007D3E7A"/>
    <w:rsid w:val="007D4D85"/>
    <w:rsid w:val="007D5415"/>
    <w:rsid w:val="007D5B0E"/>
    <w:rsid w:val="007D68EC"/>
    <w:rsid w:val="007D6B64"/>
    <w:rsid w:val="007D7E37"/>
    <w:rsid w:val="007E14B8"/>
    <w:rsid w:val="007E5C8D"/>
    <w:rsid w:val="007E7891"/>
    <w:rsid w:val="007E7985"/>
    <w:rsid w:val="007F0CC4"/>
    <w:rsid w:val="007F11D7"/>
    <w:rsid w:val="007F2F43"/>
    <w:rsid w:val="007F6A49"/>
    <w:rsid w:val="007F704F"/>
    <w:rsid w:val="00800E63"/>
    <w:rsid w:val="00801183"/>
    <w:rsid w:val="008040E8"/>
    <w:rsid w:val="00805C11"/>
    <w:rsid w:val="00806C4F"/>
    <w:rsid w:val="00813C3B"/>
    <w:rsid w:val="0081423A"/>
    <w:rsid w:val="008154DB"/>
    <w:rsid w:val="00816B61"/>
    <w:rsid w:val="00816E29"/>
    <w:rsid w:val="00817D95"/>
    <w:rsid w:val="00822DBE"/>
    <w:rsid w:val="00831094"/>
    <w:rsid w:val="008330F5"/>
    <w:rsid w:val="00833415"/>
    <w:rsid w:val="00833812"/>
    <w:rsid w:val="00834B5A"/>
    <w:rsid w:val="00836F15"/>
    <w:rsid w:val="00841035"/>
    <w:rsid w:val="00842630"/>
    <w:rsid w:val="00843EBC"/>
    <w:rsid w:val="00851852"/>
    <w:rsid w:val="00852A80"/>
    <w:rsid w:val="00852D95"/>
    <w:rsid w:val="00853AB8"/>
    <w:rsid w:val="00853D2A"/>
    <w:rsid w:val="00860EF1"/>
    <w:rsid w:val="00862002"/>
    <w:rsid w:val="008630B2"/>
    <w:rsid w:val="00863514"/>
    <w:rsid w:val="008654C4"/>
    <w:rsid w:val="00866ADA"/>
    <w:rsid w:val="00867833"/>
    <w:rsid w:val="008706B0"/>
    <w:rsid w:val="00870E08"/>
    <w:rsid w:val="008710C0"/>
    <w:rsid w:val="0087497B"/>
    <w:rsid w:val="008807CD"/>
    <w:rsid w:val="0088158C"/>
    <w:rsid w:val="00882042"/>
    <w:rsid w:val="00882314"/>
    <w:rsid w:val="00882C7D"/>
    <w:rsid w:val="00884CB7"/>
    <w:rsid w:val="00885059"/>
    <w:rsid w:val="008857BC"/>
    <w:rsid w:val="00890478"/>
    <w:rsid w:val="00890A41"/>
    <w:rsid w:val="00892856"/>
    <w:rsid w:val="0089290C"/>
    <w:rsid w:val="00893B94"/>
    <w:rsid w:val="0089791B"/>
    <w:rsid w:val="00897FE4"/>
    <w:rsid w:val="008A245E"/>
    <w:rsid w:val="008A357C"/>
    <w:rsid w:val="008A3DBF"/>
    <w:rsid w:val="008A465D"/>
    <w:rsid w:val="008A7984"/>
    <w:rsid w:val="008B00AE"/>
    <w:rsid w:val="008B0472"/>
    <w:rsid w:val="008B0720"/>
    <w:rsid w:val="008B3BC3"/>
    <w:rsid w:val="008B415D"/>
    <w:rsid w:val="008B41B3"/>
    <w:rsid w:val="008B448C"/>
    <w:rsid w:val="008B4EE6"/>
    <w:rsid w:val="008B4F8D"/>
    <w:rsid w:val="008C0B84"/>
    <w:rsid w:val="008C147A"/>
    <w:rsid w:val="008C2838"/>
    <w:rsid w:val="008C3454"/>
    <w:rsid w:val="008C3E31"/>
    <w:rsid w:val="008C750A"/>
    <w:rsid w:val="008D0180"/>
    <w:rsid w:val="008D10E5"/>
    <w:rsid w:val="008D1134"/>
    <w:rsid w:val="008D1B7B"/>
    <w:rsid w:val="008D2352"/>
    <w:rsid w:val="008D3CC5"/>
    <w:rsid w:val="008D7A2C"/>
    <w:rsid w:val="008E0B28"/>
    <w:rsid w:val="008E2599"/>
    <w:rsid w:val="008E672F"/>
    <w:rsid w:val="008F0341"/>
    <w:rsid w:val="008F0953"/>
    <w:rsid w:val="008F10E4"/>
    <w:rsid w:val="008F1981"/>
    <w:rsid w:val="008F1A01"/>
    <w:rsid w:val="008F1E07"/>
    <w:rsid w:val="008F48C0"/>
    <w:rsid w:val="008F595E"/>
    <w:rsid w:val="008F5AA5"/>
    <w:rsid w:val="008F6978"/>
    <w:rsid w:val="008F6D87"/>
    <w:rsid w:val="009003B4"/>
    <w:rsid w:val="009047C3"/>
    <w:rsid w:val="00906215"/>
    <w:rsid w:val="00906B4E"/>
    <w:rsid w:val="00907555"/>
    <w:rsid w:val="00910905"/>
    <w:rsid w:val="00910DC5"/>
    <w:rsid w:val="00911722"/>
    <w:rsid w:val="00911BCD"/>
    <w:rsid w:val="00912565"/>
    <w:rsid w:val="009133D1"/>
    <w:rsid w:val="00913761"/>
    <w:rsid w:val="0091527B"/>
    <w:rsid w:val="00915C0A"/>
    <w:rsid w:val="00916B2C"/>
    <w:rsid w:val="00917E46"/>
    <w:rsid w:val="00920A34"/>
    <w:rsid w:val="009213A9"/>
    <w:rsid w:val="009225D3"/>
    <w:rsid w:val="009228EB"/>
    <w:rsid w:val="00924193"/>
    <w:rsid w:val="00925021"/>
    <w:rsid w:val="00925404"/>
    <w:rsid w:val="009256BD"/>
    <w:rsid w:val="00925915"/>
    <w:rsid w:val="009268C5"/>
    <w:rsid w:val="00926D26"/>
    <w:rsid w:val="00930C1F"/>
    <w:rsid w:val="00931B0C"/>
    <w:rsid w:val="009328BB"/>
    <w:rsid w:val="00936B85"/>
    <w:rsid w:val="00937D70"/>
    <w:rsid w:val="00941B76"/>
    <w:rsid w:val="009428D1"/>
    <w:rsid w:val="009431B0"/>
    <w:rsid w:val="009440FA"/>
    <w:rsid w:val="00944956"/>
    <w:rsid w:val="009457C8"/>
    <w:rsid w:val="00950388"/>
    <w:rsid w:val="009519D6"/>
    <w:rsid w:val="00953308"/>
    <w:rsid w:val="009541A4"/>
    <w:rsid w:val="00956C00"/>
    <w:rsid w:val="00961491"/>
    <w:rsid w:val="00962AA5"/>
    <w:rsid w:val="009635BD"/>
    <w:rsid w:val="00963F41"/>
    <w:rsid w:val="009647BC"/>
    <w:rsid w:val="00964FF5"/>
    <w:rsid w:val="00965004"/>
    <w:rsid w:val="009671EA"/>
    <w:rsid w:val="009674E0"/>
    <w:rsid w:val="00970F2E"/>
    <w:rsid w:val="00972BC2"/>
    <w:rsid w:val="00973200"/>
    <w:rsid w:val="009748A1"/>
    <w:rsid w:val="00975B1E"/>
    <w:rsid w:val="009770A5"/>
    <w:rsid w:val="00977C0D"/>
    <w:rsid w:val="0098146F"/>
    <w:rsid w:val="00981620"/>
    <w:rsid w:val="00982CD5"/>
    <w:rsid w:val="009857A5"/>
    <w:rsid w:val="00986027"/>
    <w:rsid w:val="009918F4"/>
    <w:rsid w:val="00993621"/>
    <w:rsid w:val="00993792"/>
    <w:rsid w:val="0099524F"/>
    <w:rsid w:val="0099676C"/>
    <w:rsid w:val="009975CC"/>
    <w:rsid w:val="0099764B"/>
    <w:rsid w:val="009A0A4C"/>
    <w:rsid w:val="009A38BA"/>
    <w:rsid w:val="009A485D"/>
    <w:rsid w:val="009A7545"/>
    <w:rsid w:val="009B19AA"/>
    <w:rsid w:val="009B2531"/>
    <w:rsid w:val="009B29A1"/>
    <w:rsid w:val="009B3286"/>
    <w:rsid w:val="009B483C"/>
    <w:rsid w:val="009B4A3C"/>
    <w:rsid w:val="009B4E84"/>
    <w:rsid w:val="009B550B"/>
    <w:rsid w:val="009B61AC"/>
    <w:rsid w:val="009C0F25"/>
    <w:rsid w:val="009C22E9"/>
    <w:rsid w:val="009C2441"/>
    <w:rsid w:val="009C2EBE"/>
    <w:rsid w:val="009C43DB"/>
    <w:rsid w:val="009C4443"/>
    <w:rsid w:val="009C72F6"/>
    <w:rsid w:val="009C797C"/>
    <w:rsid w:val="009D134A"/>
    <w:rsid w:val="009D2B11"/>
    <w:rsid w:val="009D2BAF"/>
    <w:rsid w:val="009D3804"/>
    <w:rsid w:val="009D4AB0"/>
    <w:rsid w:val="009D4F4A"/>
    <w:rsid w:val="009D52FC"/>
    <w:rsid w:val="009D5920"/>
    <w:rsid w:val="009D5C0C"/>
    <w:rsid w:val="009D5FE0"/>
    <w:rsid w:val="009D6FF4"/>
    <w:rsid w:val="009D73A4"/>
    <w:rsid w:val="009E13B1"/>
    <w:rsid w:val="009E1ECE"/>
    <w:rsid w:val="009E2771"/>
    <w:rsid w:val="009E49D0"/>
    <w:rsid w:val="009E6606"/>
    <w:rsid w:val="009E672A"/>
    <w:rsid w:val="009E7EF9"/>
    <w:rsid w:val="009F1226"/>
    <w:rsid w:val="009F14E9"/>
    <w:rsid w:val="009F19CB"/>
    <w:rsid w:val="009F20D6"/>
    <w:rsid w:val="009F2265"/>
    <w:rsid w:val="009F255B"/>
    <w:rsid w:val="009F2562"/>
    <w:rsid w:val="009F48ED"/>
    <w:rsid w:val="009F5486"/>
    <w:rsid w:val="009F61B9"/>
    <w:rsid w:val="009F6E38"/>
    <w:rsid w:val="009F7B3E"/>
    <w:rsid w:val="009F7C8F"/>
    <w:rsid w:val="00A01618"/>
    <w:rsid w:val="00A027B3"/>
    <w:rsid w:val="00A042D2"/>
    <w:rsid w:val="00A067F1"/>
    <w:rsid w:val="00A0739E"/>
    <w:rsid w:val="00A107A5"/>
    <w:rsid w:val="00A11D5C"/>
    <w:rsid w:val="00A1475B"/>
    <w:rsid w:val="00A15B5E"/>
    <w:rsid w:val="00A20846"/>
    <w:rsid w:val="00A22043"/>
    <w:rsid w:val="00A2281D"/>
    <w:rsid w:val="00A24969"/>
    <w:rsid w:val="00A26178"/>
    <w:rsid w:val="00A26310"/>
    <w:rsid w:val="00A26D7C"/>
    <w:rsid w:val="00A3161C"/>
    <w:rsid w:val="00A31843"/>
    <w:rsid w:val="00A31D6C"/>
    <w:rsid w:val="00A32277"/>
    <w:rsid w:val="00A33A23"/>
    <w:rsid w:val="00A35E3C"/>
    <w:rsid w:val="00A36010"/>
    <w:rsid w:val="00A36176"/>
    <w:rsid w:val="00A36A13"/>
    <w:rsid w:val="00A375B0"/>
    <w:rsid w:val="00A408E2"/>
    <w:rsid w:val="00A4102D"/>
    <w:rsid w:val="00A42F81"/>
    <w:rsid w:val="00A46EF4"/>
    <w:rsid w:val="00A46EF5"/>
    <w:rsid w:val="00A50A61"/>
    <w:rsid w:val="00A51A93"/>
    <w:rsid w:val="00A5270E"/>
    <w:rsid w:val="00A53B7E"/>
    <w:rsid w:val="00A540A1"/>
    <w:rsid w:val="00A544E8"/>
    <w:rsid w:val="00A54BA2"/>
    <w:rsid w:val="00A55AA3"/>
    <w:rsid w:val="00A57B58"/>
    <w:rsid w:val="00A61602"/>
    <w:rsid w:val="00A61CDB"/>
    <w:rsid w:val="00A61FFD"/>
    <w:rsid w:val="00A6258A"/>
    <w:rsid w:val="00A62AE6"/>
    <w:rsid w:val="00A64E2C"/>
    <w:rsid w:val="00A6555E"/>
    <w:rsid w:val="00A65CDA"/>
    <w:rsid w:val="00A66FA8"/>
    <w:rsid w:val="00A71873"/>
    <w:rsid w:val="00A72DC7"/>
    <w:rsid w:val="00A733CF"/>
    <w:rsid w:val="00A7364F"/>
    <w:rsid w:val="00A74F3A"/>
    <w:rsid w:val="00A74F8D"/>
    <w:rsid w:val="00A76C84"/>
    <w:rsid w:val="00A814DA"/>
    <w:rsid w:val="00A82226"/>
    <w:rsid w:val="00A83C2C"/>
    <w:rsid w:val="00A85286"/>
    <w:rsid w:val="00A853AB"/>
    <w:rsid w:val="00A85A2F"/>
    <w:rsid w:val="00A860CD"/>
    <w:rsid w:val="00A87F5D"/>
    <w:rsid w:val="00A9005F"/>
    <w:rsid w:val="00A91360"/>
    <w:rsid w:val="00A914BD"/>
    <w:rsid w:val="00A934D2"/>
    <w:rsid w:val="00A9367C"/>
    <w:rsid w:val="00A93FB4"/>
    <w:rsid w:val="00A96066"/>
    <w:rsid w:val="00A97628"/>
    <w:rsid w:val="00AA131F"/>
    <w:rsid w:val="00AA3DC7"/>
    <w:rsid w:val="00AA41CE"/>
    <w:rsid w:val="00AA458A"/>
    <w:rsid w:val="00AA477C"/>
    <w:rsid w:val="00AB053A"/>
    <w:rsid w:val="00AB2DEB"/>
    <w:rsid w:val="00AB4656"/>
    <w:rsid w:val="00AB6FBB"/>
    <w:rsid w:val="00AB77D6"/>
    <w:rsid w:val="00AC0E3F"/>
    <w:rsid w:val="00AC2813"/>
    <w:rsid w:val="00AC4B5F"/>
    <w:rsid w:val="00AC5D66"/>
    <w:rsid w:val="00AC62D5"/>
    <w:rsid w:val="00AC62FF"/>
    <w:rsid w:val="00AC6640"/>
    <w:rsid w:val="00AC6CE8"/>
    <w:rsid w:val="00AD119C"/>
    <w:rsid w:val="00AD17E8"/>
    <w:rsid w:val="00AD2ECF"/>
    <w:rsid w:val="00AD2EFB"/>
    <w:rsid w:val="00AD372E"/>
    <w:rsid w:val="00AD3EE4"/>
    <w:rsid w:val="00AD66E8"/>
    <w:rsid w:val="00AD7A7B"/>
    <w:rsid w:val="00AE1DA0"/>
    <w:rsid w:val="00AE268C"/>
    <w:rsid w:val="00AE2B8A"/>
    <w:rsid w:val="00AE3238"/>
    <w:rsid w:val="00AE6F32"/>
    <w:rsid w:val="00AE777A"/>
    <w:rsid w:val="00AF034F"/>
    <w:rsid w:val="00AF1B08"/>
    <w:rsid w:val="00AF2092"/>
    <w:rsid w:val="00AF2A45"/>
    <w:rsid w:val="00AF39EA"/>
    <w:rsid w:val="00AF3B2D"/>
    <w:rsid w:val="00AF7C3B"/>
    <w:rsid w:val="00B00087"/>
    <w:rsid w:val="00B00D31"/>
    <w:rsid w:val="00B01997"/>
    <w:rsid w:val="00B02864"/>
    <w:rsid w:val="00B02C75"/>
    <w:rsid w:val="00B03AFA"/>
    <w:rsid w:val="00B03D6D"/>
    <w:rsid w:val="00B04C11"/>
    <w:rsid w:val="00B04D72"/>
    <w:rsid w:val="00B0605C"/>
    <w:rsid w:val="00B068EA"/>
    <w:rsid w:val="00B06A58"/>
    <w:rsid w:val="00B06D79"/>
    <w:rsid w:val="00B1160E"/>
    <w:rsid w:val="00B117E2"/>
    <w:rsid w:val="00B127AD"/>
    <w:rsid w:val="00B13A12"/>
    <w:rsid w:val="00B142C2"/>
    <w:rsid w:val="00B14419"/>
    <w:rsid w:val="00B1494A"/>
    <w:rsid w:val="00B205CB"/>
    <w:rsid w:val="00B2065A"/>
    <w:rsid w:val="00B21E1C"/>
    <w:rsid w:val="00B21F29"/>
    <w:rsid w:val="00B22710"/>
    <w:rsid w:val="00B23231"/>
    <w:rsid w:val="00B23259"/>
    <w:rsid w:val="00B234D2"/>
    <w:rsid w:val="00B24C77"/>
    <w:rsid w:val="00B30355"/>
    <w:rsid w:val="00B31893"/>
    <w:rsid w:val="00B330F4"/>
    <w:rsid w:val="00B35D53"/>
    <w:rsid w:val="00B36256"/>
    <w:rsid w:val="00B37F30"/>
    <w:rsid w:val="00B41587"/>
    <w:rsid w:val="00B416C0"/>
    <w:rsid w:val="00B41AA8"/>
    <w:rsid w:val="00B42815"/>
    <w:rsid w:val="00B449DA"/>
    <w:rsid w:val="00B4565F"/>
    <w:rsid w:val="00B46159"/>
    <w:rsid w:val="00B471A7"/>
    <w:rsid w:val="00B473B3"/>
    <w:rsid w:val="00B50ECC"/>
    <w:rsid w:val="00B50FDD"/>
    <w:rsid w:val="00B5131B"/>
    <w:rsid w:val="00B51D6E"/>
    <w:rsid w:val="00B52342"/>
    <w:rsid w:val="00B5413B"/>
    <w:rsid w:val="00B56DDD"/>
    <w:rsid w:val="00B57426"/>
    <w:rsid w:val="00B6034F"/>
    <w:rsid w:val="00B61B62"/>
    <w:rsid w:val="00B61CEC"/>
    <w:rsid w:val="00B63088"/>
    <w:rsid w:val="00B63714"/>
    <w:rsid w:val="00B64ECC"/>
    <w:rsid w:val="00B6643A"/>
    <w:rsid w:val="00B6789E"/>
    <w:rsid w:val="00B718F9"/>
    <w:rsid w:val="00B7219F"/>
    <w:rsid w:val="00B7249E"/>
    <w:rsid w:val="00B72A6F"/>
    <w:rsid w:val="00B730A3"/>
    <w:rsid w:val="00B745FC"/>
    <w:rsid w:val="00B76570"/>
    <w:rsid w:val="00B77B39"/>
    <w:rsid w:val="00B83C53"/>
    <w:rsid w:val="00B84650"/>
    <w:rsid w:val="00B849AE"/>
    <w:rsid w:val="00B86665"/>
    <w:rsid w:val="00B87AC9"/>
    <w:rsid w:val="00B91CA1"/>
    <w:rsid w:val="00B93147"/>
    <w:rsid w:val="00B9362D"/>
    <w:rsid w:val="00B942A4"/>
    <w:rsid w:val="00B9669E"/>
    <w:rsid w:val="00BA36F0"/>
    <w:rsid w:val="00BA391D"/>
    <w:rsid w:val="00BA4855"/>
    <w:rsid w:val="00BA59F2"/>
    <w:rsid w:val="00BA658C"/>
    <w:rsid w:val="00BA674D"/>
    <w:rsid w:val="00BA6AC9"/>
    <w:rsid w:val="00BA71F2"/>
    <w:rsid w:val="00BB0FC4"/>
    <w:rsid w:val="00BB1557"/>
    <w:rsid w:val="00BB2768"/>
    <w:rsid w:val="00BB4456"/>
    <w:rsid w:val="00BB779E"/>
    <w:rsid w:val="00BB7932"/>
    <w:rsid w:val="00BB7EB4"/>
    <w:rsid w:val="00BC01EC"/>
    <w:rsid w:val="00BC27FD"/>
    <w:rsid w:val="00BC28EF"/>
    <w:rsid w:val="00BC2CEF"/>
    <w:rsid w:val="00BC6CB7"/>
    <w:rsid w:val="00BC7D3B"/>
    <w:rsid w:val="00BD068E"/>
    <w:rsid w:val="00BD26C7"/>
    <w:rsid w:val="00BD43EC"/>
    <w:rsid w:val="00BD4FF8"/>
    <w:rsid w:val="00BD5359"/>
    <w:rsid w:val="00BD54D6"/>
    <w:rsid w:val="00BD7110"/>
    <w:rsid w:val="00BD7AC5"/>
    <w:rsid w:val="00BE0969"/>
    <w:rsid w:val="00BE0BDE"/>
    <w:rsid w:val="00BE3E2F"/>
    <w:rsid w:val="00BE3F41"/>
    <w:rsid w:val="00BE737D"/>
    <w:rsid w:val="00BF0157"/>
    <w:rsid w:val="00BF0B3B"/>
    <w:rsid w:val="00BF2335"/>
    <w:rsid w:val="00BF30A9"/>
    <w:rsid w:val="00BF31FA"/>
    <w:rsid w:val="00BF42FB"/>
    <w:rsid w:val="00BF6DF9"/>
    <w:rsid w:val="00C023EF"/>
    <w:rsid w:val="00C0312A"/>
    <w:rsid w:val="00C057B7"/>
    <w:rsid w:val="00C0656C"/>
    <w:rsid w:val="00C06906"/>
    <w:rsid w:val="00C07207"/>
    <w:rsid w:val="00C11AC0"/>
    <w:rsid w:val="00C13289"/>
    <w:rsid w:val="00C14A0A"/>
    <w:rsid w:val="00C157D8"/>
    <w:rsid w:val="00C17507"/>
    <w:rsid w:val="00C17E6E"/>
    <w:rsid w:val="00C21798"/>
    <w:rsid w:val="00C21FFC"/>
    <w:rsid w:val="00C2220C"/>
    <w:rsid w:val="00C23820"/>
    <w:rsid w:val="00C2383B"/>
    <w:rsid w:val="00C240B1"/>
    <w:rsid w:val="00C252D4"/>
    <w:rsid w:val="00C25F87"/>
    <w:rsid w:val="00C2629A"/>
    <w:rsid w:val="00C27B16"/>
    <w:rsid w:val="00C27EFD"/>
    <w:rsid w:val="00C27F59"/>
    <w:rsid w:val="00C30ABD"/>
    <w:rsid w:val="00C30B7D"/>
    <w:rsid w:val="00C30E67"/>
    <w:rsid w:val="00C31072"/>
    <w:rsid w:val="00C31832"/>
    <w:rsid w:val="00C329B3"/>
    <w:rsid w:val="00C330E6"/>
    <w:rsid w:val="00C331B8"/>
    <w:rsid w:val="00C34B7F"/>
    <w:rsid w:val="00C34BF6"/>
    <w:rsid w:val="00C350D3"/>
    <w:rsid w:val="00C35AC1"/>
    <w:rsid w:val="00C4019B"/>
    <w:rsid w:val="00C43119"/>
    <w:rsid w:val="00C4371B"/>
    <w:rsid w:val="00C43D7E"/>
    <w:rsid w:val="00C442B4"/>
    <w:rsid w:val="00C4640C"/>
    <w:rsid w:val="00C46B3A"/>
    <w:rsid w:val="00C47782"/>
    <w:rsid w:val="00C47A06"/>
    <w:rsid w:val="00C50643"/>
    <w:rsid w:val="00C52445"/>
    <w:rsid w:val="00C55E73"/>
    <w:rsid w:val="00C55F58"/>
    <w:rsid w:val="00C56E4A"/>
    <w:rsid w:val="00C6029F"/>
    <w:rsid w:val="00C6174F"/>
    <w:rsid w:val="00C625ED"/>
    <w:rsid w:val="00C62A3C"/>
    <w:rsid w:val="00C62AE1"/>
    <w:rsid w:val="00C6398A"/>
    <w:rsid w:val="00C63ABB"/>
    <w:rsid w:val="00C6414F"/>
    <w:rsid w:val="00C6462C"/>
    <w:rsid w:val="00C65636"/>
    <w:rsid w:val="00C65967"/>
    <w:rsid w:val="00C65F76"/>
    <w:rsid w:val="00C673C9"/>
    <w:rsid w:val="00C67483"/>
    <w:rsid w:val="00C70E35"/>
    <w:rsid w:val="00C719DC"/>
    <w:rsid w:val="00C71BEC"/>
    <w:rsid w:val="00C72237"/>
    <w:rsid w:val="00C73AD1"/>
    <w:rsid w:val="00C744C5"/>
    <w:rsid w:val="00C74508"/>
    <w:rsid w:val="00C749A6"/>
    <w:rsid w:val="00C75ACB"/>
    <w:rsid w:val="00C80ABA"/>
    <w:rsid w:val="00C81A74"/>
    <w:rsid w:val="00C81DCA"/>
    <w:rsid w:val="00C8406F"/>
    <w:rsid w:val="00C84945"/>
    <w:rsid w:val="00C86E4A"/>
    <w:rsid w:val="00C902FA"/>
    <w:rsid w:val="00C91585"/>
    <w:rsid w:val="00C920A5"/>
    <w:rsid w:val="00C92C5A"/>
    <w:rsid w:val="00C94383"/>
    <w:rsid w:val="00C94F30"/>
    <w:rsid w:val="00C979E0"/>
    <w:rsid w:val="00C979EB"/>
    <w:rsid w:val="00CA17BF"/>
    <w:rsid w:val="00CA3255"/>
    <w:rsid w:val="00CA3630"/>
    <w:rsid w:val="00CA3F53"/>
    <w:rsid w:val="00CA596F"/>
    <w:rsid w:val="00CA62D5"/>
    <w:rsid w:val="00CA63C2"/>
    <w:rsid w:val="00CB1D88"/>
    <w:rsid w:val="00CB44DA"/>
    <w:rsid w:val="00CB69E8"/>
    <w:rsid w:val="00CB6B96"/>
    <w:rsid w:val="00CC2171"/>
    <w:rsid w:val="00CC2D03"/>
    <w:rsid w:val="00CC2EA9"/>
    <w:rsid w:val="00CC306B"/>
    <w:rsid w:val="00CD1940"/>
    <w:rsid w:val="00CD1EC7"/>
    <w:rsid w:val="00CD1FE9"/>
    <w:rsid w:val="00CD22B3"/>
    <w:rsid w:val="00CD24F5"/>
    <w:rsid w:val="00CD25B6"/>
    <w:rsid w:val="00CD328D"/>
    <w:rsid w:val="00CD403E"/>
    <w:rsid w:val="00CD5D61"/>
    <w:rsid w:val="00CD7DA2"/>
    <w:rsid w:val="00CE0117"/>
    <w:rsid w:val="00CE11FD"/>
    <w:rsid w:val="00CE2B3B"/>
    <w:rsid w:val="00CE35B7"/>
    <w:rsid w:val="00CE466F"/>
    <w:rsid w:val="00CE5AF2"/>
    <w:rsid w:val="00CE5E87"/>
    <w:rsid w:val="00CE663E"/>
    <w:rsid w:val="00CF05B4"/>
    <w:rsid w:val="00CF2CFA"/>
    <w:rsid w:val="00CF4C40"/>
    <w:rsid w:val="00CF7503"/>
    <w:rsid w:val="00CF7C18"/>
    <w:rsid w:val="00D01ECB"/>
    <w:rsid w:val="00D02A32"/>
    <w:rsid w:val="00D04594"/>
    <w:rsid w:val="00D053F3"/>
    <w:rsid w:val="00D0554B"/>
    <w:rsid w:val="00D07E50"/>
    <w:rsid w:val="00D10BD3"/>
    <w:rsid w:val="00D1152D"/>
    <w:rsid w:val="00D11777"/>
    <w:rsid w:val="00D12347"/>
    <w:rsid w:val="00D12912"/>
    <w:rsid w:val="00D12B3B"/>
    <w:rsid w:val="00D14516"/>
    <w:rsid w:val="00D16AE7"/>
    <w:rsid w:val="00D21EE2"/>
    <w:rsid w:val="00D22B27"/>
    <w:rsid w:val="00D2343F"/>
    <w:rsid w:val="00D23E77"/>
    <w:rsid w:val="00D26DCB"/>
    <w:rsid w:val="00D26FDA"/>
    <w:rsid w:val="00D32474"/>
    <w:rsid w:val="00D33155"/>
    <w:rsid w:val="00D334AF"/>
    <w:rsid w:val="00D34AF7"/>
    <w:rsid w:val="00D350A0"/>
    <w:rsid w:val="00D361E1"/>
    <w:rsid w:val="00D3647F"/>
    <w:rsid w:val="00D37249"/>
    <w:rsid w:val="00D40878"/>
    <w:rsid w:val="00D42822"/>
    <w:rsid w:val="00D44131"/>
    <w:rsid w:val="00D4772A"/>
    <w:rsid w:val="00D47CC0"/>
    <w:rsid w:val="00D50A32"/>
    <w:rsid w:val="00D53244"/>
    <w:rsid w:val="00D542B8"/>
    <w:rsid w:val="00D54ED2"/>
    <w:rsid w:val="00D57C71"/>
    <w:rsid w:val="00D60104"/>
    <w:rsid w:val="00D61470"/>
    <w:rsid w:val="00D639AB"/>
    <w:rsid w:val="00D649C2"/>
    <w:rsid w:val="00D70268"/>
    <w:rsid w:val="00D70A9A"/>
    <w:rsid w:val="00D740F4"/>
    <w:rsid w:val="00D7451A"/>
    <w:rsid w:val="00D7555C"/>
    <w:rsid w:val="00D80495"/>
    <w:rsid w:val="00D8086C"/>
    <w:rsid w:val="00D80D6A"/>
    <w:rsid w:val="00D81199"/>
    <w:rsid w:val="00D8341A"/>
    <w:rsid w:val="00D86F0D"/>
    <w:rsid w:val="00D917FE"/>
    <w:rsid w:val="00D91EF8"/>
    <w:rsid w:val="00D940C9"/>
    <w:rsid w:val="00D958C7"/>
    <w:rsid w:val="00D95E16"/>
    <w:rsid w:val="00D9740D"/>
    <w:rsid w:val="00DB014B"/>
    <w:rsid w:val="00DB093D"/>
    <w:rsid w:val="00DB1B9C"/>
    <w:rsid w:val="00DB2DE6"/>
    <w:rsid w:val="00DB3021"/>
    <w:rsid w:val="00DB3D88"/>
    <w:rsid w:val="00DB5185"/>
    <w:rsid w:val="00DB5BF6"/>
    <w:rsid w:val="00DB5C24"/>
    <w:rsid w:val="00DB7491"/>
    <w:rsid w:val="00DC02C8"/>
    <w:rsid w:val="00DC088D"/>
    <w:rsid w:val="00DC2690"/>
    <w:rsid w:val="00DC36F5"/>
    <w:rsid w:val="00DC5367"/>
    <w:rsid w:val="00DC57A1"/>
    <w:rsid w:val="00DD19E5"/>
    <w:rsid w:val="00DD2605"/>
    <w:rsid w:val="00DD317B"/>
    <w:rsid w:val="00DD3971"/>
    <w:rsid w:val="00DD4071"/>
    <w:rsid w:val="00DD467A"/>
    <w:rsid w:val="00DD479B"/>
    <w:rsid w:val="00DD6583"/>
    <w:rsid w:val="00DD6D1A"/>
    <w:rsid w:val="00DD76A3"/>
    <w:rsid w:val="00DD7AC5"/>
    <w:rsid w:val="00DE0295"/>
    <w:rsid w:val="00DE357E"/>
    <w:rsid w:val="00DE3E7B"/>
    <w:rsid w:val="00DE4EAE"/>
    <w:rsid w:val="00DE6781"/>
    <w:rsid w:val="00DE7080"/>
    <w:rsid w:val="00DE776D"/>
    <w:rsid w:val="00DE78A7"/>
    <w:rsid w:val="00DF1867"/>
    <w:rsid w:val="00DF2626"/>
    <w:rsid w:val="00DF284C"/>
    <w:rsid w:val="00DF2AA9"/>
    <w:rsid w:val="00DF40E7"/>
    <w:rsid w:val="00DF4BB9"/>
    <w:rsid w:val="00DF5092"/>
    <w:rsid w:val="00E008F8"/>
    <w:rsid w:val="00E03F13"/>
    <w:rsid w:val="00E04752"/>
    <w:rsid w:val="00E04B7D"/>
    <w:rsid w:val="00E04DA6"/>
    <w:rsid w:val="00E0596E"/>
    <w:rsid w:val="00E05C61"/>
    <w:rsid w:val="00E05FCB"/>
    <w:rsid w:val="00E1278A"/>
    <w:rsid w:val="00E13988"/>
    <w:rsid w:val="00E13FC3"/>
    <w:rsid w:val="00E16146"/>
    <w:rsid w:val="00E16631"/>
    <w:rsid w:val="00E17FC8"/>
    <w:rsid w:val="00E21DE7"/>
    <w:rsid w:val="00E240EE"/>
    <w:rsid w:val="00E25ECE"/>
    <w:rsid w:val="00E261D3"/>
    <w:rsid w:val="00E271E1"/>
    <w:rsid w:val="00E27B02"/>
    <w:rsid w:val="00E36344"/>
    <w:rsid w:val="00E374B9"/>
    <w:rsid w:val="00E41C3D"/>
    <w:rsid w:val="00E43E3D"/>
    <w:rsid w:val="00E458E9"/>
    <w:rsid w:val="00E45F09"/>
    <w:rsid w:val="00E46DB8"/>
    <w:rsid w:val="00E517D2"/>
    <w:rsid w:val="00E53893"/>
    <w:rsid w:val="00E53B68"/>
    <w:rsid w:val="00E53C4B"/>
    <w:rsid w:val="00E54B34"/>
    <w:rsid w:val="00E54BB2"/>
    <w:rsid w:val="00E5580A"/>
    <w:rsid w:val="00E57120"/>
    <w:rsid w:val="00E601EE"/>
    <w:rsid w:val="00E6297D"/>
    <w:rsid w:val="00E62FFE"/>
    <w:rsid w:val="00E66C01"/>
    <w:rsid w:val="00E7091B"/>
    <w:rsid w:val="00E7140D"/>
    <w:rsid w:val="00E71FEE"/>
    <w:rsid w:val="00E72B8E"/>
    <w:rsid w:val="00E76196"/>
    <w:rsid w:val="00E76920"/>
    <w:rsid w:val="00E77AF3"/>
    <w:rsid w:val="00E8210A"/>
    <w:rsid w:val="00E82137"/>
    <w:rsid w:val="00E836C1"/>
    <w:rsid w:val="00E847EF"/>
    <w:rsid w:val="00E87C54"/>
    <w:rsid w:val="00E87D7A"/>
    <w:rsid w:val="00E914F1"/>
    <w:rsid w:val="00E9576D"/>
    <w:rsid w:val="00E958EB"/>
    <w:rsid w:val="00EA1A12"/>
    <w:rsid w:val="00EA1A7D"/>
    <w:rsid w:val="00EA288D"/>
    <w:rsid w:val="00EA351F"/>
    <w:rsid w:val="00EA385E"/>
    <w:rsid w:val="00EA4DEC"/>
    <w:rsid w:val="00EA58FD"/>
    <w:rsid w:val="00EB06E2"/>
    <w:rsid w:val="00EB284C"/>
    <w:rsid w:val="00EB3188"/>
    <w:rsid w:val="00EB3827"/>
    <w:rsid w:val="00EB532B"/>
    <w:rsid w:val="00EC4A14"/>
    <w:rsid w:val="00EC5B6E"/>
    <w:rsid w:val="00ED020F"/>
    <w:rsid w:val="00ED1B5E"/>
    <w:rsid w:val="00ED368A"/>
    <w:rsid w:val="00ED3708"/>
    <w:rsid w:val="00ED3F58"/>
    <w:rsid w:val="00ED3F7B"/>
    <w:rsid w:val="00ED505C"/>
    <w:rsid w:val="00ED66D0"/>
    <w:rsid w:val="00EE03F6"/>
    <w:rsid w:val="00EE1946"/>
    <w:rsid w:val="00EE1EE8"/>
    <w:rsid w:val="00EE36FE"/>
    <w:rsid w:val="00EE6EA1"/>
    <w:rsid w:val="00EF126B"/>
    <w:rsid w:val="00EF3175"/>
    <w:rsid w:val="00EF5048"/>
    <w:rsid w:val="00EF52B0"/>
    <w:rsid w:val="00EF6511"/>
    <w:rsid w:val="00F02D93"/>
    <w:rsid w:val="00F03392"/>
    <w:rsid w:val="00F0450B"/>
    <w:rsid w:val="00F06F7C"/>
    <w:rsid w:val="00F10F7C"/>
    <w:rsid w:val="00F1179C"/>
    <w:rsid w:val="00F12A93"/>
    <w:rsid w:val="00F159C9"/>
    <w:rsid w:val="00F165CF"/>
    <w:rsid w:val="00F16B88"/>
    <w:rsid w:val="00F17458"/>
    <w:rsid w:val="00F25C9E"/>
    <w:rsid w:val="00F2657D"/>
    <w:rsid w:val="00F278FA"/>
    <w:rsid w:val="00F32C0E"/>
    <w:rsid w:val="00F3326D"/>
    <w:rsid w:val="00F35628"/>
    <w:rsid w:val="00F3721A"/>
    <w:rsid w:val="00F3756B"/>
    <w:rsid w:val="00F37990"/>
    <w:rsid w:val="00F40B6D"/>
    <w:rsid w:val="00F45659"/>
    <w:rsid w:val="00F45708"/>
    <w:rsid w:val="00F552DD"/>
    <w:rsid w:val="00F55CAE"/>
    <w:rsid w:val="00F60030"/>
    <w:rsid w:val="00F604A8"/>
    <w:rsid w:val="00F60CFE"/>
    <w:rsid w:val="00F616CE"/>
    <w:rsid w:val="00F62206"/>
    <w:rsid w:val="00F67110"/>
    <w:rsid w:val="00F67F69"/>
    <w:rsid w:val="00F70BEB"/>
    <w:rsid w:val="00F71396"/>
    <w:rsid w:val="00F740EC"/>
    <w:rsid w:val="00F74C3B"/>
    <w:rsid w:val="00F75E07"/>
    <w:rsid w:val="00F7697C"/>
    <w:rsid w:val="00F77FA0"/>
    <w:rsid w:val="00F826C3"/>
    <w:rsid w:val="00F831F4"/>
    <w:rsid w:val="00F84F76"/>
    <w:rsid w:val="00F85900"/>
    <w:rsid w:val="00F87D6E"/>
    <w:rsid w:val="00F904AE"/>
    <w:rsid w:val="00F92913"/>
    <w:rsid w:val="00F9376F"/>
    <w:rsid w:val="00F96372"/>
    <w:rsid w:val="00F963D0"/>
    <w:rsid w:val="00F9791F"/>
    <w:rsid w:val="00FA08F1"/>
    <w:rsid w:val="00FA1E72"/>
    <w:rsid w:val="00FA2528"/>
    <w:rsid w:val="00FA660E"/>
    <w:rsid w:val="00FB0D50"/>
    <w:rsid w:val="00FB1A4F"/>
    <w:rsid w:val="00FB2EBB"/>
    <w:rsid w:val="00FB3F1E"/>
    <w:rsid w:val="00FB614A"/>
    <w:rsid w:val="00FB689E"/>
    <w:rsid w:val="00FC0FBC"/>
    <w:rsid w:val="00FC1B22"/>
    <w:rsid w:val="00FC1F7C"/>
    <w:rsid w:val="00FC2409"/>
    <w:rsid w:val="00FC26A4"/>
    <w:rsid w:val="00FC3085"/>
    <w:rsid w:val="00FC38D7"/>
    <w:rsid w:val="00FC42EA"/>
    <w:rsid w:val="00FC5B7E"/>
    <w:rsid w:val="00FD0916"/>
    <w:rsid w:val="00FD0A97"/>
    <w:rsid w:val="00FD2EFE"/>
    <w:rsid w:val="00FD60DF"/>
    <w:rsid w:val="00FD65B1"/>
    <w:rsid w:val="00FD73A3"/>
    <w:rsid w:val="00FE3E2B"/>
    <w:rsid w:val="00FE49CD"/>
    <w:rsid w:val="00FE6361"/>
    <w:rsid w:val="00FF14D1"/>
    <w:rsid w:val="00FF1AF5"/>
    <w:rsid w:val="00FF2715"/>
    <w:rsid w:val="00FF3C85"/>
    <w:rsid w:val="00FF5374"/>
    <w:rsid w:val="00FF586F"/>
    <w:rsid w:val="434B49DD"/>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99" w:name="footnote text"/>
    <w:lsdException w:qFormat="1" w:unhideWhenUsed="0" w:uiPriority="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qFormat="1"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qFormat="1" w:unhideWhenUsed="0" w:uiPriority="0" w:name="E-mail Signature"/>
    <w:lsdException w:qFormat="1" w:unhideWhenUsed="0" w:uiPriority="0" w:name="Normal (Web)"/>
    <w:lsdException w:uiPriority="0" w:name="HTML Acronym"/>
    <w:lsdException w:qFormat="1" w:unhideWhenUsed="0" w:uiPriority="0" w:name="HTML Address"/>
    <w:lsdException w:uiPriority="0" w:name="HTML Cite"/>
    <w:lsdException w:uiPriority="0" w:name="HTML Code"/>
    <w:lsdException w:uiPriority="0" w:name="HTML Definition"/>
    <w:lsdException w:uiPriority="0" w:name="HTML Keyboard"/>
    <w:lsdException w:qFormat="1" w:unhideWhenUsed="0"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MS Mincho" w:cs="Times New Roman"/>
      <w:kern w:val="2"/>
      <w:sz w:val="24"/>
      <w:szCs w:val="24"/>
      <w:lang w:val="en-US" w:eastAsia="ja-JP" w:bidi="ar-SA"/>
    </w:rPr>
  </w:style>
  <w:style w:type="paragraph" w:styleId="3">
    <w:name w:val="heading 1"/>
    <w:basedOn w:val="1"/>
    <w:next w:val="1"/>
    <w:qFormat/>
    <w:uiPriority w:val="0"/>
    <w:pPr>
      <w:keepNext/>
      <w:spacing w:before="120" w:after="120"/>
      <w:outlineLvl w:val="0"/>
    </w:pPr>
    <w:rPr>
      <w:rFonts w:eastAsia="MS Gothic"/>
      <w:b/>
      <w:caps/>
    </w:rPr>
  </w:style>
  <w:style w:type="paragraph" w:styleId="4">
    <w:name w:val="heading 2"/>
    <w:basedOn w:val="1"/>
    <w:next w:val="1"/>
    <w:qFormat/>
    <w:uiPriority w:val="0"/>
    <w:pPr>
      <w:keepNext/>
      <w:spacing w:before="120" w:after="120"/>
      <w:outlineLvl w:val="1"/>
    </w:pPr>
    <w:rPr>
      <w:rFonts w:eastAsia="MS Gothic"/>
      <w:b/>
      <w:lang w:eastAsia="en-US"/>
    </w:rPr>
  </w:style>
  <w:style w:type="paragraph" w:styleId="5">
    <w:name w:val="heading 3"/>
    <w:basedOn w:val="1"/>
    <w:next w:val="1"/>
    <w:qFormat/>
    <w:uiPriority w:val="0"/>
    <w:pPr>
      <w:keepNext/>
      <w:spacing w:before="120" w:after="120"/>
      <w:ind w:left="720" w:hanging="720"/>
      <w:outlineLvl w:val="2"/>
    </w:pPr>
    <w:rPr>
      <w:rFonts w:eastAsia="MS Gothic"/>
      <w:i/>
    </w:rPr>
  </w:style>
  <w:style w:type="paragraph" w:styleId="6">
    <w:name w:val="heading 4"/>
    <w:basedOn w:val="1"/>
    <w:next w:val="1"/>
    <w:qFormat/>
    <w:uiPriority w:val="0"/>
    <w:pPr>
      <w:keepNext/>
      <w:numPr>
        <w:ilvl w:val="3"/>
        <w:numId w:val="1"/>
      </w:numPr>
      <w:outlineLvl w:val="3"/>
    </w:pPr>
    <w:rPr>
      <w:b/>
      <w:bCs/>
    </w:rPr>
  </w:style>
  <w:style w:type="paragraph" w:styleId="7">
    <w:name w:val="heading 5"/>
    <w:basedOn w:val="1"/>
    <w:next w:val="1"/>
    <w:qFormat/>
    <w:uiPriority w:val="0"/>
    <w:pPr>
      <w:keepNext/>
      <w:numPr>
        <w:ilvl w:val="4"/>
        <w:numId w:val="1"/>
      </w:numPr>
      <w:outlineLvl w:val="4"/>
    </w:pPr>
    <w:rPr>
      <w:rFonts w:ascii="Arial" w:hAnsi="Arial" w:eastAsia="MS Gothic"/>
    </w:rPr>
  </w:style>
  <w:style w:type="paragraph" w:styleId="8">
    <w:name w:val="heading 6"/>
    <w:basedOn w:val="1"/>
    <w:next w:val="1"/>
    <w:qFormat/>
    <w:uiPriority w:val="0"/>
    <w:pPr>
      <w:keepNext/>
      <w:numPr>
        <w:ilvl w:val="5"/>
        <w:numId w:val="1"/>
      </w:numPr>
      <w:outlineLvl w:val="5"/>
    </w:pPr>
    <w:rPr>
      <w:b/>
      <w:bCs/>
    </w:rPr>
  </w:style>
  <w:style w:type="paragraph" w:styleId="9">
    <w:name w:val="heading 7"/>
    <w:basedOn w:val="1"/>
    <w:next w:val="1"/>
    <w:qFormat/>
    <w:uiPriority w:val="0"/>
    <w:pPr>
      <w:keepNext/>
      <w:numPr>
        <w:ilvl w:val="6"/>
        <w:numId w:val="1"/>
      </w:numPr>
      <w:outlineLvl w:val="6"/>
    </w:pPr>
  </w:style>
  <w:style w:type="paragraph" w:styleId="10">
    <w:name w:val="heading 8"/>
    <w:basedOn w:val="1"/>
    <w:next w:val="1"/>
    <w:qFormat/>
    <w:uiPriority w:val="0"/>
    <w:pPr>
      <w:keepNext/>
      <w:numPr>
        <w:ilvl w:val="7"/>
        <w:numId w:val="1"/>
      </w:numPr>
      <w:outlineLvl w:val="7"/>
    </w:pPr>
  </w:style>
  <w:style w:type="paragraph" w:styleId="11">
    <w:name w:val="heading 9"/>
    <w:basedOn w:val="1"/>
    <w:next w:val="1"/>
    <w:qFormat/>
    <w:uiPriority w:val="0"/>
    <w:pPr>
      <w:keepNext/>
      <w:numPr>
        <w:ilvl w:val="8"/>
        <w:numId w:val="1"/>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eastAsia="MS Mincho" w:cs="Courier New"/>
      <w:kern w:val="2"/>
      <w:sz w:val="18"/>
      <w:szCs w:val="18"/>
      <w:lang w:val="en-US" w:eastAsia="ja-JP" w:bidi="ar-SA"/>
    </w:rPr>
  </w:style>
  <w:style w:type="paragraph" w:styleId="12">
    <w:name w:val="toc 7"/>
    <w:basedOn w:val="1"/>
    <w:next w:val="1"/>
    <w:semiHidden/>
    <w:qFormat/>
    <w:uiPriority w:val="0"/>
    <w:pPr>
      <w:ind w:left="1320" w:leftChars="600"/>
    </w:pPr>
  </w:style>
  <w:style w:type="paragraph" w:styleId="13">
    <w:name w:val="table of authorities"/>
    <w:basedOn w:val="1"/>
    <w:next w:val="1"/>
    <w:semiHidden/>
    <w:qFormat/>
    <w:uiPriority w:val="0"/>
    <w:pPr>
      <w:ind w:left="220" w:hanging="220" w:hangingChars="100"/>
    </w:pPr>
  </w:style>
  <w:style w:type="paragraph" w:styleId="14">
    <w:name w:val="Note Heading"/>
    <w:basedOn w:val="1"/>
    <w:next w:val="1"/>
    <w:qFormat/>
    <w:uiPriority w:val="0"/>
    <w:pPr>
      <w:jc w:val="center"/>
    </w:pPr>
  </w:style>
  <w:style w:type="paragraph" w:styleId="15">
    <w:name w:val="index 8"/>
    <w:basedOn w:val="1"/>
    <w:next w:val="1"/>
    <w:semiHidden/>
    <w:qFormat/>
    <w:uiPriority w:val="0"/>
    <w:pPr>
      <w:ind w:left="700" w:leftChars="700" w:hanging="220" w:hangingChars="100"/>
    </w:pPr>
  </w:style>
  <w:style w:type="paragraph" w:styleId="16">
    <w:name w:val="E-mail Signature"/>
    <w:basedOn w:val="1"/>
    <w:semiHidden/>
    <w:qFormat/>
    <w:uiPriority w:val="0"/>
  </w:style>
  <w:style w:type="paragraph" w:styleId="17">
    <w:name w:val="caption"/>
    <w:basedOn w:val="1"/>
    <w:next w:val="1"/>
    <w:qFormat/>
    <w:uiPriority w:val="35"/>
    <w:pPr>
      <w:keepNext/>
      <w:spacing w:before="120" w:after="240"/>
    </w:pPr>
    <w:rPr>
      <w:b/>
      <w:bCs/>
      <w:szCs w:val="20"/>
    </w:rPr>
  </w:style>
  <w:style w:type="paragraph" w:styleId="18">
    <w:name w:val="index 5"/>
    <w:basedOn w:val="1"/>
    <w:next w:val="1"/>
    <w:semiHidden/>
    <w:qFormat/>
    <w:uiPriority w:val="0"/>
    <w:pPr>
      <w:ind w:left="400" w:leftChars="400" w:hanging="220" w:hangingChars="100"/>
    </w:pPr>
  </w:style>
  <w:style w:type="paragraph" w:styleId="19">
    <w:name w:val="Document Map"/>
    <w:basedOn w:val="1"/>
    <w:semiHidden/>
    <w:qFormat/>
    <w:uiPriority w:val="0"/>
    <w:pPr>
      <w:shd w:val="clear" w:color="auto" w:fill="000080"/>
    </w:pPr>
    <w:rPr>
      <w:rFonts w:ascii="Arial" w:hAnsi="Arial" w:eastAsia="MS Gothic"/>
    </w:rPr>
  </w:style>
  <w:style w:type="paragraph" w:styleId="20">
    <w:name w:val="toa heading"/>
    <w:basedOn w:val="1"/>
    <w:next w:val="1"/>
    <w:semiHidden/>
    <w:qFormat/>
    <w:uiPriority w:val="0"/>
    <w:pPr>
      <w:spacing w:before="180"/>
    </w:pPr>
    <w:rPr>
      <w:rFonts w:ascii="Arial" w:hAnsi="Arial" w:eastAsia="MS Gothic" w:cs="Arial"/>
    </w:rPr>
  </w:style>
  <w:style w:type="paragraph" w:styleId="21">
    <w:name w:val="annotation text"/>
    <w:basedOn w:val="1"/>
    <w:link w:val="93"/>
    <w:semiHidden/>
    <w:qFormat/>
    <w:uiPriority w:val="0"/>
    <w:pPr>
      <w:jc w:val="left"/>
    </w:pPr>
  </w:style>
  <w:style w:type="paragraph" w:styleId="22">
    <w:name w:val="index 6"/>
    <w:basedOn w:val="1"/>
    <w:next w:val="1"/>
    <w:semiHidden/>
    <w:qFormat/>
    <w:uiPriority w:val="0"/>
    <w:pPr>
      <w:ind w:left="500" w:leftChars="500" w:hanging="220" w:hangingChars="100"/>
    </w:pPr>
  </w:style>
  <w:style w:type="paragraph" w:styleId="23">
    <w:name w:val="Body Text"/>
    <w:basedOn w:val="1"/>
    <w:next w:val="1"/>
    <w:link w:val="79"/>
    <w:qFormat/>
    <w:uiPriority w:val="0"/>
    <w:pPr>
      <w:widowControl/>
      <w:jc w:val="left"/>
    </w:pPr>
    <w:rPr>
      <w:rFonts w:eastAsia="Times New Roman"/>
      <w:kern w:val="0"/>
      <w:sz w:val="20"/>
      <w:szCs w:val="20"/>
      <w:lang w:eastAsia="en-US"/>
    </w:rPr>
  </w:style>
  <w:style w:type="paragraph" w:styleId="24">
    <w:name w:val="HTML Address"/>
    <w:basedOn w:val="1"/>
    <w:semiHidden/>
    <w:qFormat/>
    <w:uiPriority w:val="0"/>
    <w:rPr>
      <w:i/>
      <w:iCs/>
    </w:rPr>
  </w:style>
  <w:style w:type="paragraph" w:styleId="25">
    <w:name w:val="index 4"/>
    <w:basedOn w:val="1"/>
    <w:next w:val="1"/>
    <w:semiHidden/>
    <w:qFormat/>
    <w:uiPriority w:val="0"/>
    <w:pPr>
      <w:ind w:left="300" w:leftChars="300" w:hanging="220" w:hangingChars="100"/>
    </w:pPr>
  </w:style>
  <w:style w:type="paragraph" w:styleId="26">
    <w:name w:val="toc 5"/>
    <w:basedOn w:val="1"/>
    <w:next w:val="1"/>
    <w:semiHidden/>
    <w:qFormat/>
    <w:uiPriority w:val="0"/>
    <w:pPr>
      <w:ind w:left="880" w:leftChars="400"/>
    </w:pPr>
  </w:style>
  <w:style w:type="paragraph" w:styleId="27">
    <w:name w:val="toc 3"/>
    <w:basedOn w:val="1"/>
    <w:next w:val="1"/>
    <w:semiHidden/>
    <w:qFormat/>
    <w:uiPriority w:val="0"/>
    <w:pPr>
      <w:ind w:left="440" w:leftChars="200"/>
    </w:pPr>
  </w:style>
  <w:style w:type="paragraph" w:styleId="28">
    <w:name w:val="toc 8"/>
    <w:basedOn w:val="1"/>
    <w:next w:val="1"/>
    <w:semiHidden/>
    <w:qFormat/>
    <w:uiPriority w:val="0"/>
    <w:pPr>
      <w:ind w:left="1540" w:leftChars="700"/>
    </w:pPr>
  </w:style>
  <w:style w:type="paragraph" w:styleId="29">
    <w:name w:val="index 3"/>
    <w:basedOn w:val="1"/>
    <w:next w:val="1"/>
    <w:semiHidden/>
    <w:qFormat/>
    <w:uiPriority w:val="0"/>
    <w:pPr>
      <w:ind w:left="200" w:leftChars="200" w:hanging="220" w:hangingChars="100"/>
    </w:pPr>
  </w:style>
  <w:style w:type="paragraph" w:styleId="30">
    <w:name w:val="endnote text"/>
    <w:basedOn w:val="1"/>
    <w:semiHidden/>
    <w:qFormat/>
    <w:uiPriority w:val="0"/>
    <w:pPr>
      <w:snapToGrid w:val="0"/>
      <w:jc w:val="left"/>
    </w:pPr>
  </w:style>
  <w:style w:type="paragraph" w:styleId="31">
    <w:name w:val="Balloon Text"/>
    <w:basedOn w:val="1"/>
    <w:semiHidden/>
    <w:qFormat/>
    <w:uiPriority w:val="0"/>
    <w:rPr>
      <w:rFonts w:ascii="Tahoma" w:hAnsi="Tahoma" w:cs="Tahoma"/>
      <w:sz w:val="16"/>
      <w:szCs w:val="16"/>
    </w:rPr>
  </w:style>
  <w:style w:type="paragraph" w:styleId="32">
    <w:name w:val="footer"/>
    <w:basedOn w:val="1"/>
    <w:qFormat/>
    <w:uiPriority w:val="0"/>
    <w:pPr>
      <w:tabs>
        <w:tab w:val="center" w:pos="4819"/>
        <w:tab w:val="right" w:pos="9638"/>
      </w:tabs>
    </w:pPr>
  </w:style>
  <w:style w:type="paragraph" w:styleId="33">
    <w:name w:val="header"/>
    <w:basedOn w:val="1"/>
    <w:link w:val="92"/>
    <w:qFormat/>
    <w:uiPriority w:val="99"/>
    <w:pPr>
      <w:tabs>
        <w:tab w:val="center" w:pos="4819"/>
        <w:tab w:val="right" w:pos="9638"/>
      </w:tabs>
    </w:pPr>
  </w:style>
  <w:style w:type="paragraph" w:styleId="34">
    <w:name w:val="Signature"/>
    <w:basedOn w:val="1"/>
    <w:qFormat/>
    <w:uiPriority w:val="0"/>
    <w:pPr>
      <w:jc w:val="right"/>
    </w:pPr>
  </w:style>
  <w:style w:type="paragraph" w:styleId="35">
    <w:name w:val="toc 1"/>
    <w:basedOn w:val="1"/>
    <w:next w:val="1"/>
    <w:semiHidden/>
    <w:qFormat/>
    <w:uiPriority w:val="0"/>
  </w:style>
  <w:style w:type="paragraph" w:styleId="36">
    <w:name w:val="toc 4"/>
    <w:basedOn w:val="1"/>
    <w:next w:val="1"/>
    <w:semiHidden/>
    <w:qFormat/>
    <w:uiPriority w:val="0"/>
    <w:pPr>
      <w:ind w:left="660" w:leftChars="300"/>
    </w:pPr>
  </w:style>
  <w:style w:type="paragraph" w:styleId="37">
    <w:name w:val="index heading"/>
    <w:basedOn w:val="1"/>
    <w:next w:val="38"/>
    <w:semiHidden/>
    <w:qFormat/>
    <w:uiPriority w:val="0"/>
    <w:rPr>
      <w:rFonts w:ascii="Arial" w:hAnsi="Arial" w:cs="Arial"/>
      <w:b/>
      <w:bCs/>
    </w:rPr>
  </w:style>
  <w:style w:type="paragraph" w:styleId="38">
    <w:name w:val="index 1"/>
    <w:basedOn w:val="1"/>
    <w:next w:val="1"/>
    <w:semiHidden/>
    <w:qFormat/>
    <w:uiPriority w:val="0"/>
    <w:pPr>
      <w:ind w:left="220" w:hanging="220" w:hangingChars="100"/>
    </w:pPr>
  </w:style>
  <w:style w:type="paragraph" w:styleId="39">
    <w:name w:val="footnote text"/>
    <w:basedOn w:val="1"/>
    <w:link w:val="89"/>
    <w:semiHidden/>
    <w:qFormat/>
    <w:uiPriority w:val="99"/>
    <w:pPr>
      <w:snapToGrid w:val="0"/>
      <w:jc w:val="left"/>
    </w:pPr>
  </w:style>
  <w:style w:type="paragraph" w:styleId="40">
    <w:name w:val="toc 6"/>
    <w:basedOn w:val="1"/>
    <w:next w:val="1"/>
    <w:semiHidden/>
    <w:qFormat/>
    <w:uiPriority w:val="0"/>
    <w:pPr>
      <w:ind w:left="1100" w:leftChars="500"/>
    </w:pPr>
  </w:style>
  <w:style w:type="paragraph" w:styleId="41">
    <w:name w:val="index 7"/>
    <w:basedOn w:val="1"/>
    <w:next w:val="1"/>
    <w:semiHidden/>
    <w:qFormat/>
    <w:uiPriority w:val="0"/>
    <w:pPr>
      <w:ind w:left="600" w:leftChars="600" w:hanging="220" w:hangingChars="100"/>
    </w:pPr>
  </w:style>
  <w:style w:type="paragraph" w:styleId="42">
    <w:name w:val="index 9"/>
    <w:basedOn w:val="1"/>
    <w:next w:val="1"/>
    <w:semiHidden/>
    <w:qFormat/>
    <w:uiPriority w:val="0"/>
    <w:pPr>
      <w:ind w:left="800" w:leftChars="800" w:hanging="220" w:hangingChars="100"/>
    </w:pPr>
  </w:style>
  <w:style w:type="paragraph" w:styleId="43">
    <w:name w:val="table of figures"/>
    <w:basedOn w:val="1"/>
    <w:next w:val="1"/>
    <w:qFormat/>
    <w:uiPriority w:val="99"/>
    <w:pPr>
      <w:ind w:left="850" w:leftChars="200" w:hanging="425" w:hangingChars="200"/>
    </w:pPr>
  </w:style>
  <w:style w:type="paragraph" w:styleId="44">
    <w:name w:val="toc 2"/>
    <w:basedOn w:val="1"/>
    <w:next w:val="1"/>
    <w:semiHidden/>
    <w:qFormat/>
    <w:uiPriority w:val="0"/>
    <w:pPr>
      <w:ind w:left="220" w:leftChars="100"/>
    </w:pPr>
  </w:style>
  <w:style w:type="paragraph" w:styleId="45">
    <w:name w:val="toc 9"/>
    <w:basedOn w:val="1"/>
    <w:next w:val="1"/>
    <w:semiHidden/>
    <w:qFormat/>
    <w:uiPriority w:val="0"/>
    <w:pPr>
      <w:ind w:left="1760" w:leftChars="800"/>
    </w:pPr>
  </w:style>
  <w:style w:type="paragraph" w:styleId="46">
    <w:name w:val="HTML Preformatted"/>
    <w:basedOn w:val="1"/>
    <w:semiHidden/>
    <w:qFormat/>
    <w:uiPriority w:val="0"/>
    <w:rPr>
      <w:rFonts w:ascii="Courier New" w:hAnsi="Courier New" w:cs="Courier New"/>
      <w:sz w:val="20"/>
      <w:szCs w:val="20"/>
    </w:rPr>
  </w:style>
  <w:style w:type="paragraph" w:styleId="47">
    <w:name w:val="Normal (Web)"/>
    <w:basedOn w:val="1"/>
    <w:semiHidden/>
    <w:qFormat/>
    <w:uiPriority w:val="0"/>
  </w:style>
  <w:style w:type="paragraph" w:styleId="48">
    <w:name w:val="index 2"/>
    <w:basedOn w:val="1"/>
    <w:next w:val="1"/>
    <w:semiHidden/>
    <w:qFormat/>
    <w:uiPriority w:val="0"/>
    <w:pPr>
      <w:ind w:left="100" w:leftChars="100" w:hanging="220" w:hangingChars="100"/>
    </w:pPr>
  </w:style>
  <w:style w:type="paragraph" w:styleId="49">
    <w:name w:val="annotation subject"/>
    <w:basedOn w:val="21"/>
    <w:next w:val="21"/>
    <w:link w:val="94"/>
    <w:qFormat/>
    <w:uiPriority w:val="0"/>
    <w:pPr>
      <w:jc w:val="both"/>
    </w:pPr>
    <w:rPr>
      <w:b/>
      <w:bCs/>
      <w:sz w:val="20"/>
      <w:szCs w:val="20"/>
    </w:rPr>
  </w:style>
  <w:style w:type="paragraph" w:styleId="50">
    <w:name w:val="Body Text First Indent"/>
    <w:basedOn w:val="23"/>
    <w:link w:val="110"/>
    <w:unhideWhenUsed/>
    <w:qFormat/>
    <w:uiPriority w:val="99"/>
    <w:pPr>
      <w:spacing w:line="480" w:lineRule="auto"/>
      <w:ind w:firstLine="360"/>
      <w:jc w:val="both"/>
    </w:pPr>
    <w:rPr>
      <w:rFonts w:ascii="Lucida Bright" w:hAnsi="Lucida Bright" w:cs="Courier New" w:eastAsiaTheme="minorHAnsi"/>
      <w:szCs w:val="22"/>
    </w:rPr>
  </w:style>
  <w:style w:type="table" w:styleId="52">
    <w:name w:val="Table Grid"/>
    <w:basedOn w:val="51"/>
    <w:qFormat/>
    <w:uiPriority w:val="5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endnote reference"/>
    <w:basedOn w:val="53"/>
    <w:semiHidden/>
    <w:unhideWhenUsed/>
    <w:qFormat/>
    <w:uiPriority w:val="0"/>
    <w:rPr>
      <w:vertAlign w:val="superscript"/>
    </w:rPr>
  </w:style>
  <w:style w:type="character" w:styleId="56">
    <w:name w:val="page number"/>
    <w:basedOn w:val="53"/>
    <w:qFormat/>
    <w:uiPriority w:val="0"/>
  </w:style>
  <w:style w:type="character" w:styleId="57">
    <w:name w:val="line number"/>
    <w:basedOn w:val="53"/>
    <w:qFormat/>
    <w:uiPriority w:val="0"/>
  </w:style>
  <w:style w:type="character" w:styleId="58">
    <w:name w:val="Hyperlink"/>
    <w:qFormat/>
    <w:uiPriority w:val="99"/>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99"/>
    <w:rPr>
      <w:vertAlign w:val="superscript"/>
    </w:rPr>
  </w:style>
  <w:style w:type="character" w:customStyle="1" w:styleId="61">
    <w:name w:val="titolo_scheda"/>
    <w:basedOn w:val="53"/>
    <w:qFormat/>
    <w:uiPriority w:val="0"/>
  </w:style>
  <w:style w:type="character" w:customStyle="1" w:styleId="62">
    <w:name w:val="sottotitolo_scheda"/>
    <w:basedOn w:val="53"/>
    <w:qFormat/>
    <w:uiPriority w:val="0"/>
  </w:style>
  <w:style w:type="paragraph" w:customStyle="1" w:styleId="63">
    <w:name w:val="SIDT title"/>
    <w:basedOn w:val="64"/>
    <w:next w:val="65"/>
    <w:qFormat/>
    <w:uiPriority w:val="0"/>
    <w:pPr>
      <w:spacing w:before="120" w:after="120"/>
      <w:contextualSpacing/>
      <w:jc w:val="center"/>
      <w:outlineLvl w:val="0"/>
    </w:pPr>
    <w:rPr>
      <w:rFonts w:eastAsia="MS Gothic" w:cs="Arial"/>
      <w:b/>
      <w:sz w:val="32"/>
      <w:szCs w:val="32"/>
    </w:rPr>
  </w:style>
  <w:style w:type="paragraph" w:customStyle="1" w:styleId="64">
    <w:name w:val="SIDT Normal Noindent"/>
    <w:basedOn w:val="1"/>
    <w:qFormat/>
    <w:uiPriority w:val="0"/>
  </w:style>
  <w:style w:type="paragraph" w:customStyle="1" w:styleId="65">
    <w:name w:val="SIDT author"/>
    <w:basedOn w:val="64"/>
    <w:qFormat/>
    <w:uiPriority w:val="0"/>
    <w:pPr>
      <w:jc w:val="center"/>
    </w:pPr>
  </w:style>
  <w:style w:type="paragraph" w:customStyle="1" w:styleId="66">
    <w:name w:val="SIDT affiliation"/>
    <w:basedOn w:val="64"/>
    <w:qFormat/>
    <w:uiPriority w:val="0"/>
    <w:pPr>
      <w:spacing w:before="120"/>
      <w:jc w:val="center"/>
    </w:pPr>
  </w:style>
  <w:style w:type="paragraph" w:customStyle="1" w:styleId="67">
    <w:name w:val="SIDT Section"/>
    <w:basedOn w:val="64"/>
    <w:next w:val="1"/>
    <w:qFormat/>
    <w:uiPriority w:val="0"/>
    <w:pPr>
      <w:spacing w:before="567" w:after="397"/>
    </w:pPr>
    <w:rPr>
      <w:b/>
      <w:sz w:val="28"/>
    </w:rPr>
  </w:style>
  <w:style w:type="paragraph" w:customStyle="1" w:styleId="68">
    <w:name w:val="SIDT subsection"/>
    <w:basedOn w:val="67"/>
    <w:qFormat/>
    <w:uiPriority w:val="0"/>
    <w:rPr>
      <w:sz w:val="24"/>
    </w:rPr>
  </w:style>
  <w:style w:type="paragraph" w:customStyle="1" w:styleId="69">
    <w:name w:val="SIDT E-mail"/>
    <w:basedOn w:val="66"/>
    <w:next w:val="66"/>
    <w:qFormat/>
    <w:uiPriority w:val="0"/>
    <w:rPr>
      <w:rFonts w:ascii="Arial" w:hAnsi="Arial"/>
      <w:sz w:val="20"/>
      <w:lang w:val="fr-FR"/>
    </w:rPr>
  </w:style>
  <w:style w:type="paragraph" w:customStyle="1" w:styleId="70">
    <w:name w:val="Figure"/>
    <w:basedOn w:val="1"/>
    <w:qFormat/>
    <w:uiPriority w:val="0"/>
    <w:pPr>
      <w:spacing w:before="240"/>
      <w:jc w:val="center"/>
    </w:pPr>
    <w:rPr>
      <w:lang w:val="en-GB"/>
    </w:rPr>
  </w:style>
  <w:style w:type="paragraph" w:customStyle="1" w:styleId="71">
    <w:name w:val="Table"/>
    <w:basedOn w:val="1"/>
    <w:qFormat/>
    <w:uiPriority w:val="0"/>
    <w:pPr>
      <w:jc w:val="center"/>
    </w:pPr>
    <w:rPr>
      <w:sz w:val="20"/>
      <w:lang w:val="en-GB"/>
    </w:rPr>
  </w:style>
  <w:style w:type="paragraph" w:customStyle="1" w:styleId="72">
    <w:name w:val="tableCaption"/>
    <w:basedOn w:val="17"/>
    <w:qFormat/>
    <w:uiPriority w:val="0"/>
    <w:pPr>
      <w:spacing w:before="240" w:after="120"/>
      <w:jc w:val="center"/>
    </w:pPr>
    <w:rPr>
      <w:b w:val="0"/>
      <w:lang w:val="en-GB"/>
    </w:rPr>
  </w:style>
  <w:style w:type="paragraph" w:customStyle="1" w:styleId="73">
    <w:name w:val="Figurecaption"/>
    <w:basedOn w:val="17"/>
    <w:qFormat/>
    <w:uiPriority w:val="0"/>
    <w:pPr>
      <w:spacing w:before="60"/>
      <w:jc w:val="center"/>
    </w:pPr>
    <w:rPr>
      <w:b w:val="0"/>
      <w:lang w:val="en-GB"/>
    </w:rPr>
  </w:style>
  <w:style w:type="paragraph" w:customStyle="1" w:styleId="74">
    <w:name w:val="References"/>
    <w:basedOn w:val="1"/>
    <w:qFormat/>
    <w:uiPriority w:val="0"/>
    <w:pPr>
      <w:spacing w:after="60"/>
    </w:pPr>
    <w:rPr>
      <w:sz w:val="18"/>
      <w:lang w:val="en-GB"/>
    </w:rPr>
  </w:style>
  <w:style w:type="paragraph" w:customStyle="1" w:styleId="75">
    <w:name w:val="List1"/>
    <w:basedOn w:val="1"/>
    <w:qFormat/>
    <w:uiPriority w:val="0"/>
    <w:pPr>
      <w:numPr>
        <w:ilvl w:val="0"/>
        <w:numId w:val="2"/>
      </w:numPr>
    </w:pPr>
    <w:rPr>
      <w:lang w:val="en-GB"/>
    </w:rPr>
  </w:style>
  <w:style w:type="paragraph" w:customStyle="1" w:styleId="76">
    <w:name w:val="SIDT first heading"/>
    <w:basedOn w:val="67"/>
    <w:qFormat/>
    <w:uiPriority w:val="0"/>
    <w:pPr>
      <w:numPr>
        <w:ilvl w:val="0"/>
        <w:numId w:val="3"/>
      </w:numPr>
      <w:spacing w:before="120" w:after="120"/>
    </w:pPr>
    <w:rPr>
      <w:sz w:val="24"/>
      <w:lang w:val="en-GB"/>
    </w:rPr>
  </w:style>
  <w:style w:type="paragraph" w:customStyle="1" w:styleId="77">
    <w:name w:val="Author e-mail"/>
    <w:basedOn w:val="66"/>
    <w:qFormat/>
    <w:uiPriority w:val="0"/>
    <w:pPr>
      <w:spacing w:before="0" w:after="120"/>
    </w:pPr>
    <w:rPr>
      <w:lang w:val="en-GB"/>
    </w:rPr>
  </w:style>
  <w:style w:type="paragraph" w:customStyle="1" w:styleId="78">
    <w:name w:val="Author affiliation"/>
    <w:basedOn w:val="66"/>
    <w:qFormat/>
    <w:uiPriority w:val="0"/>
    <w:rPr>
      <w:szCs w:val="22"/>
      <w:lang w:val="en-GB"/>
    </w:rPr>
  </w:style>
  <w:style w:type="character" w:customStyle="1" w:styleId="79">
    <w:name w:val="Body Text Char"/>
    <w:link w:val="23"/>
    <w:qFormat/>
    <w:locked/>
    <w:uiPriority w:val="0"/>
    <w:rPr>
      <w:lang w:val="en-US" w:eastAsia="en-US" w:bidi="ar-SA"/>
    </w:rPr>
  </w:style>
  <w:style w:type="paragraph" w:customStyle="1" w:styleId="80">
    <w:name w:val="Stile Corpo del testo + Giustificato Dopo:  0.05 cm Interlinea do..."/>
    <w:basedOn w:val="23"/>
    <w:qFormat/>
    <w:uiPriority w:val="0"/>
    <w:pPr>
      <w:ind w:right="26"/>
      <w:jc w:val="both"/>
    </w:pPr>
    <w:rPr>
      <w:sz w:val="22"/>
    </w:rPr>
  </w:style>
  <w:style w:type="character" w:customStyle="1" w:styleId="81">
    <w:name w:val="Default Char"/>
    <w:link w:val="82"/>
    <w:qFormat/>
    <w:locked/>
    <w:uiPriority w:val="0"/>
    <w:rPr>
      <w:rFonts w:ascii="Times New Roman" w:hAnsi="Times New Roman" w:eastAsia="Times New Roman"/>
      <w:color w:val="000000"/>
      <w:sz w:val="24"/>
      <w:szCs w:val="24"/>
      <w:lang w:val="en-US" w:eastAsia="en-US" w:bidi="ar-SA"/>
    </w:rPr>
  </w:style>
  <w:style w:type="paragraph" w:customStyle="1" w:styleId="82">
    <w:name w:val="Default"/>
    <w:link w:val="81"/>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83">
    <w:name w:val="bea-portal-theme-alibrisinvisible"/>
    <w:basedOn w:val="53"/>
    <w:qFormat/>
    <w:uiPriority w:val="0"/>
  </w:style>
  <w:style w:type="character" w:customStyle="1" w:styleId="84">
    <w:name w:val="journalhead"/>
    <w:basedOn w:val="53"/>
    <w:qFormat/>
    <w:uiPriority w:val="0"/>
  </w:style>
  <w:style w:type="character" w:customStyle="1" w:styleId="85">
    <w:name w:val="book_title"/>
    <w:basedOn w:val="53"/>
    <w:qFormat/>
    <w:uiPriority w:val="0"/>
  </w:style>
  <w:style w:type="character" w:customStyle="1" w:styleId="86">
    <w:name w:val="cmti-10x-x-109"/>
    <w:basedOn w:val="53"/>
    <w:qFormat/>
    <w:uiPriority w:val="0"/>
  </w:style>
  <w:style w:type="character" w:customStyle="1" w:styleId="87">
    <w:name w:val="cmbx-10x-x-109"/>
    <w:basedOn w:val="53"/>
    <w:qFormat/>
    <w:uiPriority w:val="0"/>
  </w:style>
  <w:style w:type="paragraph" w:styleId="88">
    <w:name w:val="List Paragraph"/>
    <w:basedOn w:val="1"/>
    <w:qFormat/>
    <w:uiPriority w:val="34"/>
    <w:pPr>
      <w:widowControl/>
      <w:spacing w:after="200" w:line="276" w:lineRule="auto"/>
      <w:ind w:left="720"/>
      <w:contextualSpacing/>
      <w:jc w:val="left"/>
    </w:pPr>
    <w:rPr>
      <w:rFonts w:eastAsia="Calibri"/>
      <w:kern w:val="0"/>
      <w:szCs w:val="22"/>
      <w:lang w:val="en-CA" w:eastAsia="en-US"/>
    </w:rPr>
  </w:style>
  <w:style w:type="character" w:customStyle="1" w:styleId="89">
    <w:name w:val="Footnote Text Char"/>
    <w:link w:val="39"/>
    <w:semiHidden/>
    <w:qFormat/>
    <w:uiPriority w:val="99"/>
    <w:rPr>
      <w:rFonts w:ascii="Times New Roman" w:hAnsi="Times New Roman"/>
      <w:kern w:val="2"/>
      <w:sz w:val="22"/>
      <w:szCs w:val="24"/>
      <w:lang w:val="en-US" w:eastAsia="ja-JP"/>
    </w:rPr>
  </w:style>
  <w:style w:type="paragraph" w:customStyle="1" w:styleId="90">
    <w:name w:val="CM41"/>
    <w:basedOn w:val="82"/>
    <w:next w:val="82"/>
    <w:qFormat/>
    <w:uiPriority w:val="99"/>
    <w:pPr>
      <w:widowControl w:val="0"/>
    </w:pPr>
    <w:rPr>
      <w:rFonts w:ascii="Myriad Pro" w:hAnsi="Myriad Pro"/>
      <w:color w:val="auto"/>
    </w:rPr>
  </w:style>
  <w:style w:type="paragraph" w:customStyle="1" w:styleId="91">
    <w:name w:val="CM11"/>
    <w:basedOn w:val="82"/>
    <w:next w:val="82"/>
    <w:qFormat/>
    <w:uiPriority w:val="99"/>
    <w:pPr>
      <w:widowControl w:val="0"/>
      <w:spacing w:line="258" w:lineRule="atLeast"/>
    </w:pPr>
    <w:rPr>
      <w:rFonts w:ascii="Myriad Pro" w:hAnsi="Myriad Pro"/>
      <w:color w:val="auto"/>
    </w:rPr>
  </w:style>
  <w:style w:type="character" w:customStyle="1" w:styleId="92">
    <w:name w:val="Header Char"/>
    <w:link w:val="33"/>
    <w:qFormat/>
    <w:uiPriority w:val="99"/>
    <w:rPr>
      <w:rFonts w:ascii="Times New Roman" w:hAnsi="Times New Roman"/>
      <w:kern w:val="2"/>
      <w:sz w:val="22"/>
      <w:szCs w:val="24"/>
      <w:lang w:val="en-US" w:eastAsia="ja-JP"/>
    </w:rPr>
  </w:style>
  <w:style w:type="character" w:customStyle="1" w:styleId="93">
    <w:name w:val="Comment Text Char"/>
    <w:link w:val="21"/>
    <w:semiHidden/>
    <w:qFormat/>
    <w:uiPriority w:val="0"/>
    <w:rPr>
      <w:rFonts w:ascii="Times New Roman" w:hAnsi="Times New Roman"/>
      <w:kern w:val="2"/>
      <w:sz w:val="22"/>
      <w:szCs w:val="24"/>
      <w:lang w:val="en-US" w:eastAsia="ja-JP"/>
    </w:rPr>
  </w:style>
  <w:style w:type="character" w:customStyle="1" w:styleId="94">
    <w:name w:val="Comment Subject Char"/>
    <w:link w:val="49"/>
    <w:qFormat/>
    <w:uiPriority w:val="0"/>
    <w:rPr>
      <w:rFonts w:ascii="Times New Roman" w:hAnsi="Times New Roman"/>
      <w:b/>
      <w:bCs/>
      <w:kern w:val="2"/>
      <w:sz w:val="22"/>
      <w:szCs w:val="24"/>
      <w:lang w:val="en-US" w:eastAsia="ja-JP"/>
    </w:rPr>
  </w:style>
  <w:style w:type="paragraph" w:customStyle="1" w:styleId="95">
    <w:name w:val="Revision"/>
    <w:hidden/>
    <w:semiHidden/>
    <w:qFormat/>
    <w:uiPriority w:val="99"/>
    <w:rPr>
      <w:rFonts w:ascii="Times New Roman" w:hAnsi="Times New Roman" w:eastAsia="MS Mincho" w:cs="Times New Roman"/>
      <w:kern w:val="2"/>
      <w:sz w:val="22"/>
      <w:szCs w:val="24"/>
      <w:lang w:val="en-US" w:eastAsia="ja-JP" w:bidi="ar-SA"/>
    </w:rPr>
  </w:style>
  <w:style w:type="character" w:customStyle="1" w:styleId="96">
    <w:name w:val="fontstyle01"/>
    <w:basedOn w:val="53"/>
    <w:qFormat/>
    <w:uiPriority w:val="0"/>
    <w:rPr>
      <w:rFonts w:hint="default" w:ascii="Cambria" w:hAnsi="Cambria"/>
      <w:color w:val="000000"/>
      <w:sz w:val="24"/>
      <w:szCs w:val="24"/>
    </w:rPr>
  </w:style>
  <w:style w:type="paragraph" w:customStyle="1" w:styleId="97">
    <w:name w:val="Paragraphs"/>
    <w:basedOn w:val="1"/>
    <w:link w:val="98"/>
    <w:qFormat/>
    <w:uiPriority w:val="0"/>
    <w:pPr>
      <w:spacing w:after="200" w:line="276" w:lineRule="auto"/>
    </w:pPr>
    <w:rPr>
      <w:rFonts w:ascii="Garamond" w:hAnsi="Garamond" w:eastAsiaTheme="minorHAnsi" w:cstheme="minorBidi"/>
      <w:kern w:val="0"/>
      <w:szCs w:val="22"/>
      <w:lang w:eastAsia="en-US"/>
    </w:rPr>
  </w:style>
  <w:style w:type="character" w:customStyle="1" w:styleId="98">
    <w:name w:val="Paragraphs Char"/>
    <w:basedOn w:val="53"/>
    <w:link w:val="97"/>
    <w:qFormat/>
    <w:uiPriority w:val="0"/>
    <w:rPr>
      <w:rFonts w:ascii="Garamond" w:hAnsi="Garamond" w:eastAsiaTheme="minorHAnsi" w:cstheme="minorBidi"/>
      <w:sz w:val="24"/>
      <w:szCs w:val="22"/>
    </w:rPr>
  </w:style>
  <w:style w:type="table" w:customStyle="1" w:styleId="99">
    <w:name w:val="Grid Table 6 Colorful - Accent 61"/>
    <w:basedOn w:val="51"/>
    <w:qFormat/>
    <w:uiPriority w:val="51"/>
    <w:pPr>
      <w:widowControl w:val="0"/>
    </w:pPr>
    <w:rPr>
      <w:rFonts w:ascii="Calibri" w:hAnsi="Calibri" w:eastAsia="Calibri" w:cs="Vrinda"/>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0">
    <w:name w:val="Grid Table 6 Colorful - Accent 611"/>
    <w:basedOn w:val="51"/>
    <w:qFormat/>
    <w:uiPriority w:val="51"/>
    <w:pPr>
      <w:widowControl w:val="0"/>
    </w:pPr>
    <w:rPr>
      <w:rFonts w:ascii="Calibri" w:hAnsi="Calibri" w:eastAsia="Calibri" w:cs="Vrinda"/>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paragraph" w:customStyle="1" w:styleId="101">
    <w:name w:val="Bibliography"/>
    <w:basedOn w:val="1"/>
    <w:next w:val="1"/>
    <w:unhideWhenUsed/>
    <w:qFormat/>
    <w:uiPriority w:val="37"/>
    <w:pPr>
      <w:tabs>
        <w:tab w:val="left" w:pos="504"/>
      </w:tabs>
      <w:ind w:left="504" w:hanging="504"/>
    </w:pPr>
  </w:style>
  <w:style w:type="paragraph" w:styleId="102">
    <w:name w:val="No Spacing"/>
    <w:qFormat/>
    <w:uiPriority w:val="1"/>
    <w:pPr>
      <w:widowControl w:val="0"/>
    </w:pPr>
    <w:rPr>
      <w:rFonts w:ascii="Times New Roman" w:hAnsi="Times New Roman" w:cs="Times New Roman" w:eastAsiaTheme="minorHAnsi"/>
      <w:bCs/>
      <w:sz w:val="24"/>
      <w:szCs w:val="24"/>
      <w:lang w:val="en-US" w:eastAsia="en-US" w:bidi="ar-SA"/>
    </w:rPr>
  </w:style>
  <w:style w:type="table" w:customStyle="1" w:styleId="103">
    <w:name w:val="Grid Table 6 Colorful - Accent 612"/>
    <w:basedOn w:val="51"/>
    <w:qFormat/>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4">
    <w:name w:val="Grid Table 6 Colorful - Accent 613"/>
    <w:basedOn w:val="51"/>
    <w:qFormat/>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5">
    <w:name w:val="Grid Table 6 Colorful - Accent 614"/>
    <w:basedOn w:val="51"/>
    <w:qFormat/>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6">
    <w:name w:val="Grid Table 6 Colorful - Accent 615"/>
    <w:basedOn w:val="51"/>
    <w:qFormat/>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7">
    <w:name w:val="Grid Table 6 Colorful - Accent 616"/>
    <w:basedOn w:val="51"/>
    <w:qFormat/>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8">
    <w:name w:val="Grid Table 6 Colorful - Accent 617"/>
    <w:basedOn w:val="51"/>
    <w:qFormat/>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9">
    <w:name w:val="Grid Table 6 Colorful - Accent 618"/>
    <w:basedOn w:val="51"/>
    <w:qFormat/>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110">
    <w:name w:val="Body Text First Indent Char"/>
    <w:basedOn w:val="79"/>
    <w:link w:val="50"/>
    <w:qFormat/>
    <w:uiPriority w:val="99"/>
    <w:rPr>
      <w:rFonts w:ascii="Lucida Bright" w:hAnsi="Lucida Bright" w:cs="Courier New" w:eastAsiaTheme="minorHAnsi"/>
      <w:szCs w:val="22"/>
      <w:lang w:val="en-US" w:eastAsia="en-US" w:bidi="ar-SA"/>
    </w:rPr>
  </w:style>
  <w:style w:type="table" w:customStyle="1" w:styleId="111">
    <w:name w:val="Plain Table 1"/>
    <w:basedOn w:val="51"/>
    <w:qFormat/>
    <w:uiPriority w:val="41"/>
    <w:rPr>
      <w:rFonts w:asciiTheme="minorHAnsi" w:hAnsiTheme="minorHAnsi" w:eastAsiaTheme="minorHAnsi" w:cstheme="minorBidi"/>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12">
    <w:name w:val="Table Grid1"/>
    <w:basedOn w:val="51"/>
    <w:qFormat/>
    <w:uiPriority w:val="59"/>
    <w:rPr>
      <w:rFonts w:eastAsia="Times New Roman"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Table Grid2"/>
    <w:basedOn w:val="51"/>
    <w:qFormat/>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Table Grid3"/>
    <w:basedOn w:val="51"/>
    <w:qFormat/>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Table Grid4"/>
    <w:basedOn w:val="51"/>
    <w:qFormat/>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Table Grid5"/>
    <w:basedOn w:val="51"/>
    <w:qFormat/>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Table Grid6"/>
    <w:basedOn w:val="51"/>
    <w:qFormat/>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Grid7"/>
    <w:basedOn w:val="51"/>
    <w:qFormat/>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D:\excel%20data%20for%20dissertation%20%20upd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80" b="1" i="0" u="none" strike="noStrike" kern="1200" baseline="0">
                <a:solidFill>
                  <a:schemeClr val="tx1"/>
                </a:solidFill>
                <a:latin typeface="Lucida Bright" panose="02040602050505020304" pitchFamily="1" charset="0"/>
                <a:ea typeface="+mn-ea"/>
                <a:cs typeface="+mn-cs"/>
              </a:defRPr>
            </a:pPr>
            <a:r>
              <a:rPr lang="en-US"/>
              <a:t>Class Volume Data for  2010</a:t>
            </a:r>
            <a:endParaRPr lang="en-US"/>
          </a:p>
        </c:rich>
      </c:tx>
      <c:layout>
        <c:manualLayout>
          <c:xMode val="edge"/>
          <c:yMode val="edge"/>
          <c:x val="0.348202099737533"/>
          <c:y val="0"/>
        </c:manualLayout>
      </c:layout>
      <c:overlay val="0"/>
      <c:spPr>
        <a:noFill/>
        <a:ln>
          <a:noFill/>
        </a:ln>
        <a:effectLst/>
      </c:spPr>
    </c:title>
    <c:autoTitleDeleted val="0"/>
    <c:plotArea>
      <c:layout>
        <c:manualLayout>
          <c:layoutTarget val="inner"/>
          <c:xMode val="edge"/>
          <c:yMode val="edge"/>
          <c:x val="0.0531764347258409"/>
          <c:y val="0.0639460784313726"/>
          <c:w val="0.926355726660649"/>
          <c:h val="0.623700208429829"/>
        </c:manualLayout>
      </c:layout>
      <c:barChart>
        <c:barDir val="col"/>
        <c:grouping val="stacked"/>
        <c:varyColors val="0"/>
        <c:ser>
          <c:idx val="0"/>
          <c:order val="0"/>
          <c:tx>
            <c:strRef>
              <c:f>Sheet2!$D$4:$D$6</c:f>
              <c:strCache>
                <c:ptCount val="1"/>
                <c:pt idx="0">
                  <c:v>Class 1 Motorcycles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Sheet2!$D$6:$D$30</c:f>
              <c:numCache>
                <c:formatCode>General</c:formatCode>
                <c:ptCount val="25"/>
                <c:pt idx="0">
                  <c:v>0</c:v>
                </c:pt>
                <c:pt idx="1">
                  <c:v>2</c:v>
                </c:pt>
                <c:pt idx="2">
                  <c:v>0</c:v>
                </c:pt>
                <c:pt idx="3">
                  <c:v>0</c:v>
                </c:pt>
                <c:pt idx="4">
                  <c:v>0</c:v>
                </c:pt>
                <c:pt idx="5">
                  <c:v>1</c:v>
                </c:pt>
                <c:pt idx="6">
                  <c:v>5</c:v>
                </c:pt>
                <c:pt idx="7">
                  <c:v>4</c:v>
                </c:pt>
                <c:pt idx="8">
                  <c:v>5</c:v>
                </c:pt>
                <c:pt idx="9">
                  <c:v>1</c:v>
                </c:pt>
                <c:pt idx="10">
                  <c:v>5</c:v>
                </c:pt>
                <c:pt idx="11">
                  <c:v>5</c:v>
                </c:pt>
                <c:pt idx="12">
                  <c:v>1</c:v>
                </c:pt>
                <c:pt idx="13">
                  <c:v>2</c:v>
                </c:pt>
                <c:pt idx="14">
                  <c:v>5</c:v>
                </c:pt>
                <c:pt idx="15">
                  <c:v>12</c:v>
                </c:pt>
                <c:pt idx="16">
                  <c:v>17</c:v>
                </c:pt>
                <c:pt idx="17">
                  <c:v>23</c:v>
                </c:pt>
                <c:pt idx="18">
                  <c:v>4</c:v>
                </c:pt>
                <c:pt idx="19">
                  <c:v>6</c:v>
                </c:pt>
                <c:pt idx="20">
                  <c:v>8</c:v>
                </c:pt>
                <c:pt idx="21">
                  <c:v>6</c:v>
                </c:pt>
                <c:pt idx="22">
                  <c:v>2</c:v>
                </c:pt>
                <c:pt idx="23">
                  <c:v>4</c:v>
                </c:pt>
                <c:pt idx="24">
                  <c:v>4</c:v>
                </c:pt>
              </c:numCache>
            </c:numRef>
          </c:val>
        </c:ser>
        <c:ser>
          <c:idx val="1"/>
          <c:order val="1"/>
          <c:tx>
            <c:strRef>
              <c:f>Sheet2!$E$4:$E$5</c:f>
              <c:strCache>
                <c:ptCount val="1"/>
                <c:pt idx="0">
                  <c:v>Class 2  Passenger Cars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Sheet2!$E$6:$E$30</c:f>
              <c:numCache>
                <c:formatCode>General</c:formatCode>
                <c:ptCount val="25"/>
                <c:pt idx="1">
                  <c:v>51</c:v>
                </c:pt>
                <c:pt idx="2">
                  <c:v>36</c:v>
                </c:pt>
                <c:pt idx="3">
                  <c:v>38</c:v>
                </c:pt>
                <c:pt idx="4">
                  <c:v>30</c:v>
                </c:pt>
                <c:pt idx="5">
                  <c:v>69</c:v>
                </c:pt>
                <c:pt idx="6">
                  <c:v>227</c:v>
                </c:pt>
                <c:pt idx="7">
                  <c:v>470</c:v>
                </c:pt>
                <c:pt idx="8">
                  <c:v>844</c:v>
                </c:pt>
                <c:pt idx="9">
                  <c:v>863</c:v>
                </c:pt>
                <c:pt idx="10">
                  <c:v>514</c:v>
                </c:pt>
                <c:pt idx="11">
                  <c:v>495</c:v>
                </c:pt>
                <c:pt idx="12">
                  <c:v>691</c:v>
                </c:pt>
                <c:pt idx="13">
                  <c:v>842</c:v>
                </c:pt>
                <c:pt idx="14">
                  <c:v>897</c:v>
                </c:pt>
                <c:pt idx="15">
                  <c:v>754</c:v>
                </c:pt>
                <c:pt idx="16">
                  <c:v>557</c:v>
                </c:pt>
                <c:pt idx="17">
                  <c:v>555</c:v>
                </c:pt>
                <c:pt idx="18">
                  <c:v>773</c:v>
                </c:pt>
                <c:pt idx="19">
                  <c:v>646</c:v>
                </c:pt>
                <c:pt idx="20">
                  <c:v>238</c:v>
                </c:pt>
                <c:pt idx="21">
                  <c:v>256</c:v>
                </c:pt>
                <c:pt idx="22">
                  <c:v>155</c:v>
                </c:pt>
                <c:pt idx="23">
                  <c:v>297</c:v>
                </c:pt>
                <c:pt idx="24">
                  <c:v>277</c:v>
                </c:pt>
              </c:numCache>
            </c:numRef>
          </c:val>
        </c:ser>
        <c:ser>
          <c:idx val="2"/>
          <c:order val="2"/>
          <c:tx>
            <c:strRef>
              <c:f>Sheet2!$F$4:$F$5</c:f>
              <c:strCache>
                <c:ptCount val="1"/>
                <c:pt idx="0">
                  <c:v>Class 3 Light Trucks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Sheet2!$F$6:$F$30</c:f>
              <c:numCache>
                <c:formatCode>General</c:formatCode>
                <c:ptCount val="25"/>
                <c:pt idx="1">
                  <c:v>3</c:v>
                </c:pt>
                <c:pt idx="2">
                  <c:v>2</c:v>
                </c:pt>
                <c:pt idx="3">
                  <c:v>3</c:v>
                </c:pt>
                <c:pt idx="4">
                  <c:v>3</c:v>
                </c:pt>
                <c:pt idx="5">
                  <c:v>7</c:v>
                </c:pt>
                <c:pt idx="6">
                  <c:v>21</c:v>
                </c:pt>
                <c:pt idx="7">
                  <c:v>57</c:v>
                </c:pt>
                <c:pt idx="8">
                  <c:v>74</c:v>
                </c:pt>
                <c:pt idx="9">
                  <c:v>82</c:v>
                </c:pt>
                <c:pt idx="10">
                  <c:v>106</c:v>
                </c:pt>
                <c:pt idx="11">
                  <c:v>120</c:v>
                </c:pt>
                <c:pt idx="12">
                  <c:v>111</c:v>
                </c:pt>
                <c:pt idx="13">
                  <c:v>132</c:v>
                </c:pt>
                <c:pt idx="14">
                  <c:v>104</c:v>
                </c:pt>
                <c:pt idx="15">
                  <c:v>140</c:v>
                </c:pt>
                <c:pt idx="16">
                  <c:v>97</c:v>
                </c:pt>
                <c:pt idx="17">
                  <c:v>75</c:v>
                </c:pt>
                <c:pt idx="18">
                  <c:v>45</c:v>
                </c:pt>
                <c:pt idx="19">
                  <c:v>30</c:v>
                </c:pt>
                <c:pt idx="20">
                  <c:v>8</c:v>
                </c:pt>
                <c:pt idx="21">
                  <c:v>16</c:v>
                </c:pt>
                <c:pt idx="22">
                  <c:v>5</c:v>
                </c:pt>
                <c:pt idx="23">
                  <c:v>3</c:v>
                </c:pt>
                <c:pt idx="24">
                  <c:v>7</c:v>
                </c:pt>
              </c:numCache>
            </c:numRef>
          </c:val>
        </c:ser>
        <c:ser>
          <c:idx val="3"/>
          <c:order val="3"/>
          <c:tx>
            <c:strRef>
              <c:f>Sheet2!$G$4:$G$6</c:f>
              <c:strCache>
                <c:ptCount val="1"/>
                <c:pt idx="0">
                  <c:v>Class 4 Buses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Sheet2!$G$6:$G$30</c:f>
              <c:numCache>
                <c:formatCode>General</c:formatCode>
                <c:ptCount val="25"/>
                <c:pt idx="0">
                  <c:v>0</c:v>
                </c:pt>
                <c:pt idx="1">
                  <c:v>0</c:v>
                </c:pt>
                <c:pt idx="2">
                  <c:v>1</c:v>
                </c:pt>
                <c:pt idx="3">
                  <c:v>0</c:v>
                </c:pt>
                <c:pt idx="4">
                  <c:v>0</c:v>
                </c:pt>
                <c:pt idx="5">
                  <c:v>0</c:v>
                </c:pt>
                <c:pt idx="6">
                  <c:v>0</c:v>
                </c:pt>
                <c:pt idx="7">
                  <c:v>1</c:v>
                </c:pt>
                <c:pt idx="8">
                  <c:v>2</c:v>
                </c:pt>
                <c:pt idx="9">
                  <c:v>6</c:v>
                </c:pt>
                <c:pt idx="10">
                  <c:v>1</c:v>
                </c:pt>
                <c:pt idx="11">
                  <c:v>3</c:v>
                </c:pt>
                <c:pt idx="12">
                  <c:v>3</c:v>
                </c:pt>
                <c:pt idx="13">
                  <c:v>0</c:v>
                </c:pt>
                <c:pt idx="14">
                  <c:v>1</c:v>
                </c:pt>
                <c:pt idx="15">
                  <c:v>8</c:v>
                </c:pt>
                <c:pt idx="16">
                  <c:v>1</c:v>
                </c:pt>
                <c:pt idx="17">
                  <c:v>3</c:v>
                </c:pt>
                <c:pt idx="18">
                  <c:v>3</c:v>
                </c:pt>
                <c:pt idx="19">
                  <c:v>1</c:v>
                </c:pt>
                <c:pt idx="20">
                  <c:v>0</c:v>
                </c:pt>
                <c:pt idx="21">
                  <c:v>0</c:v>
                </c:pt>
                <c:pt idx="22">
                  <c:v>0</c:v>
                </c:pt>
                <c:pt idx="23">
                  <c:v>0</c:v>
                </c:pt>
                <c:pt idx="24">
                  <c:v>0</c:v>
                </c:pt>
              </c:numCache>
            </c:numRef>
          </c:val>
        </c:ser>
        <c:ser>
          <c:idx val="4"/>
          <c:order val="4"/>
          <c:tx>
            <c:strRef>
              <c:f>Sheet2!$H$3:$H$4</c:f>
              <c:strCache>
                <c:ptCount val="1"/>
                <c:pt idx="0">
                  <c:v>Single Unit Trucks Class 5</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Sheet2!$H$6:$H$30</c:f>
              <c:numCache>
                <c:formatCode>General</c:formatCode>
                <c:ptCount val="25"/>
                <c:pt idx="1">
                  <c:v>1</c:v>
                </c:pt>
                <c:pt idx="2">
                  <c:v>1</c:v>
                </c:pt>
                <c:pt idx="3">
                  <c:v>2</c:v>
                </c:pt>
                <c:pt idx="4">
                  <c:v>0</c:v>
                </c:pt>
                <c:pt idx="5">
                  <c:v>5</c:v>
                </c:pt>
                <c:pt idx="6">
                  <c:v>8</c:v>
                </c:pt>
                <c:pt idx="7">
                  <c:v>12</c:v>
                </c:pt>
                <c:pt idx="8">
                  <c:v>17</c:v>
                </c:pt>
                <c:pt idx="9">
                  <c:v>23</c:v>
                </c:pt>
                <c:pt idx="10">
                  <c:v>30</c:v>
                </c:pt>
                <c:pt idx="11">
                  <c:v>23</c:v>
                </c:pt>
                <c:pt idx="12">
                  <c:v>19</c:v>
                </c:pt>
                <c:pt idx="13">
                  <c:v>21</c:v>
                </c:pt>
                <c:pt idx="14">
                  <c:v>23</c:v>
                </c:pt>
                <c:pt idx="15">
                  <c:v>38</c:v>
                </c:pt>
                <c:pt idx="16">
                  <c:v>23</c:v>
                </c:pt>
                <c:pt idx="17">
                  <c:v>16</c:v>
                </c:pt>
                <c:pt idx="18">
                  <c:v>16</c:v>
                </c:pt>
                <c:pt idx="19">
                  <c:v>7</c:v>
                </c:pt>
                <c:pt idx="20">
                  <c:v>0</c:v>
                </c:pt>
                <c:pt idx="21">
                  <c:v>2</c:v>
                </c:pt>
                <c:pt idx="22">
                  <c:v>1</c:v>
                </c:pt>
                <c:pt idx="23">
                  <c:v>1</c:v>
                </c:pt>
                <c:pt idx="24">
                  <c:v>3</c:v>
                </c:pt>
              </c:numCache>
            </c:numRef>
          </c:val>
        </c:ser>
        <c:ser>
          <c:idx val="5"/>
          <c:order val="5"/>
          <c:tx>
            <c:strRef>
              <c:f>Sheet2!$I$3:$I$4</c:f>
              <c:strCache>
                <c:ptCount val="1"/>
                <c:pt idx="0">
                  <c:v>Single Unit Trucks Class 6</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Sheet2!$I$6:$I$30</c:f>
              <c:numCache>
                <c:formatCode>General</c:formatCode>
                <c:ptCount val="25"/>
                <c:pt idx="0">
                  <c:v>0</c:v>
                </c:pt>
                <c:pt idx="1">
                  <c:v>0</c:v>
                </c:pt>
                <c:pt idx="2">
                  <c:v>3</c:v>
                </c:pt>
                <c:pt idx="3">
                  <c:v>0</c:v>
                </c:pt>
                <c:pt idx="4">
                  <c:v>0</c:v>
                </c:pt>
                <c:pt idx="5">
                  <c:v>9</c:v>
                </c:pt>
                <c:pt idx="6">
                  <c:v>3</c:v>
                </c:pt>
                <c:pt idx="7">
                  <c:v>13</c:v>
                </c:pt>
                <c:pt idx="8">
                  <c:v>10</c:v>
                </c:pt>
                <c:pt idx="9">
                  <c:v>14</c:v>
                </c:pt>
                <c:pt idx="10">
                  <c:v>18</c:v>
                </c:pt>
                <c:pt idx="11">
                  <c:v>10</c:v>
                </c:pt>
                <c:pt idx="12">
                  <c:v>17</c:v>
                </c:pt>
                <c:pt idx="13">
                  <c:v>11</c:v>
                </c:pt>
                <c:pt idx="14">
                  <c:v>8</c:v>
                </c:pt>
                <c:pt idx="15">
                  <c:v>7</c:v>
                </c:pt>
                <c:pt idx="16">
                  <c:v>14</c:v>
                </c:pt>
                <c:pt idx="17">
                  <c:v>27</c:v>
                </c:pt>
                <c:pt idx="18">
                  <c:v>9</c:v>
                </c:pt>
                <c:pt idx="19">
                  <c:v>7</c:v>
                </c:pt>
                <c:pt idx="20">
                  <c:v>0</c:v>
                </c:pt>
                <c:pt idx="21">
                  <c:v>4</c:v>
                </c:pt>
                <c:pt idx="22">
                  <c:v>1</c:v>
                </c:pt>
                <c:pt idx="23">
                  <c:v>0</c:v>
                </c:pt>
                <c:pt idx="24">
                  <c:v>0</c:v>
                </c:pt>
              </c:numCache>
            </c:numRef>
          </c:val>
        </c:ser>
        <c:ser>
          <c:idx val="6"/>
          <c:order val="6"/>
          <c:tx>
            <c:strRef>
              <c:f>Sheet2!$J$3:$J$4</c:f>
              <c:strCache>
                <c:ptCount val="1"/>
                <c:pt idx="0">
                  <c:v>Single Trailer Trucks Class 7</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Sheet2!$J$6:$J$30</c:f>
              <c:numCache>
                <c:formatCode>General</c:formatCode>
                <c:ptCount val="25"/>
                <c:pt idx="0">
                  <c:v>0</c:v>
                </c:pt>
                <c:pt idx="1">
                  <c:v>0</c:v>
                </c:pt>
                <c:pt idx="2">
                  <c:v>1</c:v>
                </c:pt>
                <c:pt idx="3">
                  <c:v>0</c:v>
                </c:pt>
                <c:pt idx="4">
                  <c:v>0</c:v>
                </c:pt>
                <c:pt idx="5">
                  <c:v>0</c:v>
                </c:pt>
                <c:pt idx="6">
                  <c:v>0</c:v>
                </c:pt>
                <c:pt idx="7">
                  <c:v>2</c:v>
                </c:pt>
                <c:pt idx="8">
                  <c:v>4</c:v>
                </c:pt>
                <c:pt idx="9">
                  <c:v>6</c:v>
                </c:pt>
                <c:pt idx="10">
                  <c:v>3</c:v>
                </c:pt>
                <c:pt idx="11">
                  <c:v>5</c:v>
                </c:pt>
                <c:pt idx="12">
                  <c:v>2</c:v>
                </c:pt>
                <c:pt idx="13">
                  <c:v>4</c:v>
                </c:pt>
                <c:pt idx="14">
                  <c:v>4</c:v>
                </c:pt>
                <c:pt idx="15">
                  <c:v>5</c:v>
                </c:pt>
                <c:pt idx="16">
                  <c:v>3</c:v>
                </c:pt>
                <c:pt idx="17">
                  <c:v>5</c:v>
                </c:pt>
                <c:pt idx="18">
                  <c:v>2</c:v>
                </c:pt>
                <c:pt idx="19">
                  <c:v>0</c:v>
                </c:pt>
                <c:pt idx="20">
                  <c:v>0</c:v>
                </c:pt>
                <c:pt idx="21">
                  <c:v>0</c:v>
                </c:pt>
                <c:pt idx="22">
                  <c:v>0</c:v>
                </c:pt>
                <c:pt idx="23">
                  <c:v>0</c:v>
                </c:pt>
                <c:pt idx="24">
                  <c:v>0</c:v>
                </c:pt>
              </c:numCache>
            </c:numRef>
          </c:val>
        </c:ser>
        <c:ser>
          <c:idx val="7"/>
          <c:order val="7"/>
          <c:tx>
            <c:strRef>
              <c:f>Sheet2!$K$3:$K$4</c:f>
              <c:strCache>
                <c:ptCount val="1"/>
                <c:pt idx="0">
                  <c:v>Single Trailer Trucks Class 8</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Sheet2!$K$6:$K$30</c:f>
              <c:numCache>
                <c:formatCode>General</c:formatCode>
                <c:ptCount val="25"/>
                <c:pt idx="0">
                  <c:v>0</c:v>
                </c:pt>
                <c:pt idx="1">
                  <c:v>1</c:v>
                </c:pt>
                <c:pt idx="2">
                  <c:v>1</c:v>
                </c:pt>
                <c:pt idx="3">
                  <c:v>0</c:v>
                </c:pt>
                <c:pt idx="4">
                  <c:v>1</c:v>
                </c:pt>
                <c:pt idx="5">
                  <c:v>3</c:v>
                </c:pt>
                <c:pt idx="6">
                  <c:v>0</c:v>
                </c:pt>
                <c:pt idx="7">
                  <c:v>1</c:v>
                </c:pt>
                <c:pt idx="8">
                  <c:v>8</c:v>
                </c:pt>
                <c:pt idx="9">
                  <c:v>16</c:v>
                </c:pt>
                <c:pt idx="10">
                  <c:v>13</c:v>
                </c:pt>
                <c:pt idx="11">
                  <c:v>19</c:v>
                </c:pt>
                <c:pt idx="12">
                  <c:v>12</c:v>
                </c:pt>
                <c:pt idx="13">
                  <c:v>12</c:v>
                </c:pt>
                <c:pt idx="14">
                  <c:v>14</c:v>
                </c:pt>
                <c:pt idx="15">
                  <c:v>13</c:v>
                </c:pt>
                <c:pt idx="16">
                  <c:v>17</c:v>
                </c:pt>
                <c:pt idx="17">
                  <c:v>13</c:v>
                </c:pt>
                <c:pt idx="18">
                  <c:v>10</c:v>
                </c:pt>
                <c:pt idx="19">
                  <c:v>3</c:v>
                </c:pt>
                <c:pt idx="20">
                  <c:v>1</c:v>
                </c:pt>
                <c:pt idx="21">
                  <c:v>1</c:v>
                </c:pt>
                <c:pt idx="22">
                  <c:v>0</c:v>
                </c:pt>
                <c:pt idx="23">
                  <c:v>0</c:v>
                </c:pt>
                <c:pt idx="24">
                  <c:v>0</c:v>
                </c:pt>
              </c:numCache>
            </c:numRef>
          </c:val>
        </c:ser>
        <c:ser>
          <c:idx val="8"/>
          <c:order val="8"/>
          <c:tx>
            <c:strRef>
              <c:f>Sheet2!$L$3:$L$4</c:f>
              <c:strCache>
                <c:ptCount val="1"/>
                <c:pt idx="0">
                  <c:v>Multi-Trailer Trucks Class 9</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Sheet2!$L$6:$L$30</c:f>
              <c:numCache>
                <c:formatCode>General</c:formatCode>
                <c:ptCount val="25"/>
                <c:pt idx="0">
                  <c:v>0</c:v>
                </c:pt>
                <c:pt idx="1">
                  <c:v>0</c:v>
                </c:pt>
                <c:pt idx="2">
                  <c:v>2</c:v>
                </c:pt>
                <c:pt idx="3">
                  <c:v>1</c:v>
                </c:pt>
                <c:pt idx="4">
                  <c:v>1</c:v>
                </c:pt>
                <c:pt idx="5">
                  <c:v>4</c:v>
                </c:pt>
                <c:pt idx="6">
                  <c:v>7</c:v>
                </c:pt>
                <c:pt idx="7">
                  <c:v>33</c:v>
                </c:pt>
                <c:pt idx="8">
                  <c:v>105</c:v>
                </c:pt>
                <c:pt idx="9">
                  <c:v>139</c:v>
                </c:pt>
                <c:pt idx="10">
                  <c:v>166</c:v>
                </c:pt>
                <c:pt idx="11">
                  <c:v>184</c:v>
                </c:pt>
                <c:pt idx="12">
                  <c:v>108</c:v>
                </c:pt>
                <c:pt idx="13">
                  <c:v>176</c:v>
                </c:pt>
                <c:pt idx="14">
                  <c:v>139</c:v>
                </c:pt>
                <c:pt idx="15">
                  <c:v>188</c:v>
                </c:pt>
                <c:pt idx="16">
                  <c:v>159</c:v>
                </c:pt>
                <c:pt idx="17">
                  <c:v>80</c:v>
                </c:pt>
                <c:pt idx="18">
                  <c:v>22</c:v>
                </c:pt>
                <c:pt idx="19">
                  <c:v>5</c:v>
                </c:pt>
                <c:pt idx="20">
                  <c:v>7</c:v>
                </c:pt>
                <c:pt idx="21">
                  <c:v>6</c:v>
                </c:pt>
                <c:pt idx="22">
                  <c:v>1</c:v>
                </c:pt>
                <c:pt idx="23">
                  <c:v>2</c:v>
                </c:pt>
                <c:pt idx="24">
                  <c:v>0</c:v>
                </c:pt>
              </c:numCache>
            </c:numRef>
          </c:val>
        </c:ser>
        <c:ser>
          <c:idx val="9"/>
          <c:order val="9"/>
          <c:tx>
            <c:strRef>
              <c:f>Sheet2!$M$3:$M$4</c:f>
              <c:strCache>
                <c:ptCount val="1"/>
                <c:pt idx="0">
                  <c:v>Multi-Trailer Trucks Class 10</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Sheet2!$M$6:$M$30</c:f>
              <c:numCache>
                <c:formatCode>General</c:formatCode>
                <c:ptCount val="25"/>
                <c:pt idx="0">
                  <c:v>0</c:v>
                </c:pt>
                <c:pt idx="1">
                  <c:v>0</c:v>
                </c:pt>
                <c:pt idx="2">
                  <c:v>0</c:v>
                </c:pt>
                <c:pt idx="3">
                  <c:v>0</c:v>
                </c:pt>
                <c:pt idx="4">
                  <c:v>0</c:v>
                </c:pt>
                <c:pt idx="5">
                  <c:v>1</c:v>
                </c:pt>
                <c:pt idx="6">
                  <c:v>0</c:v>
                </c:pt>
                <c:pt idx="7">
                  <c:v>2</c:v>
                </c:pt>
                <c:pt idx="8">
                  <c:v>5</c:v>
                </c:pt>
                <c:pt idx="9">
                  <c:v>4</c:v>
                </c:pt>
                <c:pt idx="10">
                  <c:v>9</c:v>
                </c:pt>
                <c:pt idx="11">
                  <c:v>4</c:v>
                </c:pt>
                <c:pt idx="12">
                  <c:v>6</c:v>
                </c:pt>
                <c:pt idx="13">
                  <c:v>9</c:v>
                </c:pt>
                <c:pt idx="14">
                  <c:v>4</c:v>
                </c:pt>
                <c:pt idx="15">
                  <c:v>8</c:v>
                </c:pt>
                <c:pt idx="16">
                  <c:v>8</c:v>
                </c:pt>
                <c:pt idx="17">
                  <c:v>4</c:v>
                </c:pt>
                <c:pt idx="18">
                  <c:v>0</c:v>
                </c:pt>
                <c:pt idx="19">
                  <c:v>1</c:v>
                </c:pt>
                <c:pt idx="20">
                  <c:v>0</c:v>
                </c:pt>
                <c:pt idx="21">
                  <c:v>1</c:v>
                </c:pt>
                <c:pt idx="22">
                  <c:v>0</c:v>
                </c:pt>
                <c:pt idx="23">
                  <c:v>0</c:v>
                </c:pt>
                <c:pt idx="24">
                  <c:v>0</c:v>
                </c:pt>
              </c:numCache>
            </c:numRef>
          </c:val>
        </c:ser>
        <c:ser>
          <c:idx val="10"/>
          <c:order val="10"/>
          <c:tx>
            <c:strRef>
              <c:f>Sheet2!$N$3:$N$4</c:f>
              <c:strCache>
                <c:ptCount val="1"/>
                <c:pt idx="0">
                  <c:v>Multi-Trailer Trucks Class 11</c:v>
                </c:pt>
              </c:strCache>
            </c:strRef>
          </c:tx>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Sheet2!$N$6:$N$30</c:f>
              <c:numCache>
                <c:formatCode>General</c:formatCode>
                <c:ptCount val="25"/>
                <c:pt idx="0">
                  <c:v>0</c:v>
                </c:pt>
                <c:pt idx="1">
                  <c:v>0</c:v>
                </c:pt>
                <c:pt idx="2">
                  <c:v>0</c:v>
                </c:pt>
                <c:pt idx="3">
                  <c:v>1</c:v>
                </c:pt>
                <c:pt idx="4">
                  <c:v>0</c:v>
                </c:pt>
                <c:pt idx="5">
                  <c:v>0</c:v>
                </c:pt>
                <c:pt idx="6">
                  <c:v>0</c:v>
                </c:pt>
                <c:pt idx="7">
                  <c:v>2</c:v>
                </c:pt>
                <c:pt idx="8">
                  <c:v>0</c:v>
                </c:pt>
                <c:pt idx="9">
                  <c:v>2</c:v>
                </c:pt>
                <c:pt idx="10">
                  <c:v>2</c:v>
                </c:pt>
                <c:pt idx="11">
                  <c:v>4</c:v>
                </c:pt>
                <c:pt idx="12">
                  <c:v>3</c:v>
                </c:pt>
                <c:pt idx="13">
                  <c:v>1</c:v>
                </c:pt>
                <c:pt idx="14">
                  <c:v>4</c:v>
                </c:pt>
                <c:pt idx="15">
                  <c:v>1</c:v>
                </c:pt>
                <c:pt idx="16">
                  <c:v>1</c:v>
                </c:pt>
                <c:pt idx="17">
                  <c:v>2</c:v>
                </c:pt>
                <c:pt idx="18">
                  <c:v>0</c:v>
                </c:pt>
                <c:pt idx="19">
                  <c:v>0</c:v>
                </c:pt>
                <c:pt idx="20">
                  <c:v>0</c:v>
                </c:pt>
                <c:pt idx="21">
                  <c:v>0</c:v>
                </c:pt>
                <c:pt idx="22">
                  <c:v>0</c:v>
                </c:pt>
                <c:pt idx="23">
                  <c:v>0</c:v>
                </c:pt>
                <c:pt idx="24">
                  <c:v>0</c:v>
                </c:pt>
              </c:numCache>
            </c:numRef>
          </c:val>
        </c:ser>
        <c:ser>
          <c:idx val="11"/>
          <c:order val="11"/>
          <c:tx>
            <c:strRef>
              <c:f>Sheet2!$O$3:$O$4</c:f>
              <c:strCache>
                <c:ptCount val="1"/>
                <c:pt idx="0">
                  <c:v>Multi-Trailer Trucks Class 12</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Sheet2!$O$6:$O$30</c:f>
              <c:numCache>
                <c:formatCode>General</c:formatCode>
                <c:ptCount val="25"/>
                <c:pt idx="0">
                  <c:v>0</c:v>
                </c:pt>
                <c:pt idx="1">
                  <c:v>0</c:v>
                </c:pt>
                <c:pt idx="2">
                  <c:v>0</c:v>
                </c:pt>
                <c:pt idx="3">
                  <c:v>0</c:v>
                </c:pt>
                <c:pt idx="4">
                  <c:v>0</c:v>
                </c:pt>
                <c:pt idx="5">
                  <c:v>0</c:v>
                </c:pt>
                <c:pt idx="6">
                  <c:v>0</c:v>
                </c:pt>
                <c:pt idx="7">
                  <c:v>0</c:v>
                </c:pt>
                <c:pt idx="8">
                  <c:v>2</c:v>
                </c:pt>
                <c:pt idx="9">
                  <c:v>4</c:v>
                </c:pt>
                <c:pt idx="10">
                  <c:v>2</c:v>
                </c:pt>
                <c:pt idx="11">
                  <c:v>4</c:v>
                </c:pt>
                <c:pt idx="12">
                  <c:v>1</c:v>
                </c:pt>
                <c:pt idx="13">
                  <c:v>6</c:v>
                </c:pt>
                <c:pt idx="14">
                  <c:v>6</c:v>
                </c:pt>
                <c:pt idx="15">
                  <c:v>3</c:v>
                </c:pt>
                <c:pt idx="16">
                  <c:v>2</c:v>
                </c:pt>
                <c:pt idx="17">
                  <c:v>3</c:v>
                </c:pt>
                <c:pt idx="18">
                  <c:v>0</c:v>
                </c:pt>
                <c:pt idx="19">
                  <c:v>0</c:v>
                </c:pt>
                <c:pt idx="20">
                  <c:v>0</c:v>
                </c:pt>
                <c:pt idx="21">
                  <c:v>0</c:v>
                </c:pt>
                <c:pt idx="22">
                  <c:v>0</c:v>
                </c:pt>
                <c:pt idx="23">
                  <c:v>0</c:v>
                </c:pt>
                <c:pt idx="24">
                  <c:v>0</c:v>
                </c:pt>
              </c:numCache>
            </c:numRef>
          </c:val>
        </c:ser>
        <c:ser>
          <c:idx val="12"/>
          <c:order val="12"/>
          <c:tx>
            <c:strRef>
              <c:f>Sheet2!$P$3:$P$4</c:f>
              <c:strCache>
                <c:ptCount val="1"/>
                <c:pt idx="0">
                  <c:v>Multi-Trailer Trucks Class 13</c:v>
                </c:pt>
              </c:strCache>
            </c:strRef>
          </c:tx>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Sheet2!$P$6:$P$30</c:f>
              <c:numCache>
                <c:formatCode>General</c:formatCode>
                <c:ptCount val="25"/>
                <c:pt idx="0">
                  <c:v>0</c:v>
                </c:pt>
                <c:pt idx="1">
                  <c:v>0</c:v>
                </c:pt>
                <c:pt idx="2">
                  <c:v>0</c:v>
                </c:pt>
                <c:pt idx="3">
                  <c:v>0</c:v>
                </c:pt>
                <c:pt idx="4">
                  <c:v>0</c:v>
                </c:pt>
                <c:pt idx="5">
                  <c:v>0</c:v>
                </c:pt>
                <c:pt idx="6">
                  <c:v>0</c:v>
                </c:pt>
                <c:pt idx="7">
                  <c:v>1</c:v>
                </c:pt>
                <c:pt idx="8">
                  <c:v>1</c:v>
                </c:pt>
                <c:pt idx="9">
                  <c:v>0</c:v>
                </c:pt>
                <c:pt idx="10">
                  <c:v>3</c:v>
                </c:pt>
                <c:pt idx="11">
                  <c:v>2</c:v>
                </c:pt>
                <c:pt idx="12">
                  <c:v>2</c:v>
                </c:pt>
                <c:pt idx="13">
                  <c:v>2</c:v>
                </c:pt>
                <c:pt idx="14">
                  <c:v>1</c:v>
                </c:pt>
                <c:pt idx="15">
                  <c:v>2</c:v>
                </c:pt>
                <c:pt idx="16">
                  <c:v>1</c:v>
                </c:pt>
                <c:pt idx="17">
                  <c:v>1</c:v>
                </c:pt>
                <c:pt idx="18">
                  <c:v>0</c:v>
                </c:pt>
                <c:pt idx="19">
                  <c:v>0</c:v>
                </c:pt>
                <c:pt idx="20">
                  <c:v>0</c:v>
                </c:pt>
                <c:pt idx="21">
                  <c:v>0</c:v>
                </c:pt>
                <c:pt idx="22">
                  <c:v>0</c:v>
                </c:pt>
                <c:pt idx="23">
                  <c:v>0</c:v>
                </c:pt>
                <c:pt idx="24">
                  <c:v>0</c:v>
                </c:pt>
              </c:numCache>
            </c:numRef>
          </c:val>
        </c:ser>
        <c:dLbls>
          <c:showLegendKey val="0"/>
          <c:showVal val="0"/>
          <c:showCatName val="0"/>
          <c:showSerName val="0"/>
          <c:showPercent val="0"/>
          <c:showBubbleSize val="0"/>
        </c:dLbls>
        <c:gapWidth val="150"/>
        <c:overlap val="100"/>
        <c:axId val="46719360"/>
        <c:axId val="46720896"/>
      </c:barChart>
      <c:catAx>
        <c:axId val="467193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crossAx val="46720896"/>
        <c:crosses val="autoZero"/>
        <c:auto val="1"/>
        <c:lblAlgn val="ctr"/>
        <c:lblOffset val="100"/>
        <c:noMultiLvlLbl val="0"/>
      </c:catAx>
      <c:valAx>
        <c:axId val="46720896"/>
        <c:scaling>
          <c:orientation val="minMax"/>
          <c:max val="1800"/>
        </c:scaling>
        <c:delete val="0"/>
        <c:axPos val="l"/>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crossAx val="46719360"/>
        <c:crosses val="autoZero"/>
        <c:crossBetween val="between"/>
      </c:valAx>
      <c:spPr>
        <a:noFill/>
        <a:ln>
          <a:noFill/>
        </a:ln>
        <a:effectLst/>
      </c:spPr>
    </c:plotArea>
    <c:legend>
      <c:legendPos val="b"/>
      <c:layout>
        <c:manualLayout>
          <c:xMode val="edge"/>
          <c:yMode val="edge"/>
          <c:x val="0.0513266790798427"/>
          <c:y val="0.821008138688546"/>
          <c:w val="0.91857373693984"/>
          <c:h val="0.1207285559893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sz="900">
          <a:latin typeface="Lucida Bright" panose="02040602050505020304" pitchFamily="1"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80" b="1" i="0" u="none" strike="noStrike" kern="1200" baseline="0">
                <a:solidFill>
                  <a:schemeClr val="tx1"/>
                </a:solidFill>
                <a:latin typeface="Lucida Bright" panose="02040602050505020304" pitchFamily="1" charset="0"/>
                <a:ea typeface="+mn-ea"/>
                <a:cs typeface="+mn-cs"/>
              </a:defRPr>
            </a:pPr>
            <a:r>
              <a:rPr lang="en-US"/>
              <a:t>Class Volume Data for 2016</a:t>
            </a:r>
            <a:endParaRPr lang="en-US"/>
          </a:p>
        </c:rich>
      </c:tx>
      <c:layout>
        <c:manualLayout>
          <c:xMode val="edge"/>
          <c:yMode val="edge"/>
          <c:x val="0.345130054619461"/>
          <c:y val="0"/>
        </c:manualLayout>
      </c:layout>
      <c:overlay val="0"/>
      <c:spPr>
        <a:noFill/>
        <a:ln>
          <a:noFill/>
        </a:ln>
        <a:effectLst/>
      </c:spPr>
    </c:title>
    <c:autoTitleDeleted val="0"/>
    <c:plotArea>
      <c:layout>
        <c:manualLayout>
          <c:layoutTarget val="inner"/>
          <c:xMode val="edge"/>
          <c:yMode val="edge"/>
          <c:x val="0.0898471196255107"/>
          <c:y val="0.0685761964939568"/>
          <c:w val="0.921953436376009"/>
          <c:h val="0.550113148319107"/>
        </c:manualLayout>
      </c:layout>
      <c:barChart>
        <c:barDir val="col"/>
        <c:grouping val="stacked"/>
        <c:varyColors val="0"/>
        <c:ser>
          <c:idx val="0"/>
          <c:order val="0"/>
          <c:tx>
            <c:strRef>
              <c:f>Sheet2!$D$61:$D$63</c:f>
              <c:strCache>
                <c:ptCount val="1"/>
                <c:pt idx="0">
                  <c:v>Class 1 Motorcycles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Sheet2!$D$63:$D$87</c:f>
              <c:numCache>
                <c:formatCode>General</c:formatCode>
                <c:ptCount val="25"/>
                <c:pt idx="0">
                  <c:v>0</c:v>
                </c:pt>
                <c:pt idx="1">
                  <c:v>2</c:v>
                </c:pt>
                <c:pt idx="2">
                  <c:v>0</c:v>
                </c:pt>
                <c:pt idx="3">
                  <c:v>0</c:v>
                </c:pt>
                <c:pt idx="4">
                  <c:v>1</c:v>
                </c:pt>
                <c:pt idx="5">
                  <c:v>0</c:v>
                </c:pt>
                <c:pt idx="6">
                  <c:v>0</c:v>
                </c:pt>
                <c:pt idx="7">
                  <c:v>3</c:v>
                </c:pt>
                <c:pt idx="8">
                  <c:v>5</c:v>
                </c:pt>
                <c:pt idx="9">
                  <c:v>6</c:v>
                </c:pt>
                <c:pt idx="10">
                  <c:v>3</c:v>
                </c:pt>
                <c:pt idx="11">
                  <c:v>4</c:v>
                </c:pt>
                <c:pt idx="12">
                  <c:v>6</c:v>
                </c:pt>
                <c:pt idx="13">
                  <c:v>12</c:v>
                </c:pt>
                <c:pt idx="14">
                  <c:v>10</c:v>
                </c:pt>
                <c:pt idx="15">
                  <c:v>1</c:v>
                </c:pt>
                <c:pt idx="16">
                  <c:v>3</c:v>
                </c:pt>
                <c:pt idx="17">
                  <c:v>5</c:v>
                </c:pt>
                <c:pt idx="18">
                  <c:v>4</c:v>
                </c:pt>
                <c:pt idx="19">
                  <c:v>6</c:v>
                </c:pt>
                <c:pt idx="20">
                  <c:v>6</c:v>
                </c:pt>
                <c:pt idx="21">
                  <c:v>3</c:v>
                </c:pt>
                <c:pt idx="22">
                  <c:v>0</c:v>
                </c:pt>
                <c:pt idx="23">
                  <c:v>0</c:v>
                </c:pt>
                <c:pt idx="24">
                  <c:v>1</c:v>
                </c:pt>
              </c:numCache>
            </c:numRef>
          </c:val>
        </c:ser>
        <c:ser>
          <c:idx val="1"/>
          <c:order val="1"/>
          <c:tx>
            <c:strRef>
              <c:f>Sheet2!$E$61:$E$62</c:f>
              <c:strCache>
                <c:ptCount val="1"/>
                <c:pt idx="0">
                  <c:v>Class 2  Passenger Cars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Sheet2!$E$63:$E$87</c:f>
              <c:numCache>
                <c:formatCode>General</c:formatCode>
                <c:ptCount val="25"/>
                <c:pt idx="1">
                  <c:v>192</c:v>
                </c:pt>
                <c:pt idx="2">
                  <c:v>122</c:v>
                </c:pt>
                <c:pt idx="3">
                  <c:v>99</c:v>
                </c:pt>
                <c:pt idx="4">
                  <c:v>102</c:v>
                </c:pt>
                <c:pt idx="5">
                  <c:v>264</c:v>
                </c:pt>
                <c:pt idx="6">
                  <c:v>384</c:v>
                </c:pt>
                <c:pt idx="7">
                  <c:v>784</c:v>
                </c:pt>
                <c:pt idx="8">
                  <c:v>1008</c:v>
                </c:pt>
                <c:pt idx="9">
                  <c:v>496</c:v>
                </c:pt>
                <c:pt idx="10">
                  <c:v>396</c:v>
                </c:pt>
                <c:pt idx="11">
                  <c:v>351</c:v>
                </c:pt>
                <c:pt idx="12">
                  <c:v>456</c:v>
                </c:pt>
                <c:pt idx="13">
                  <c:v>609</c:v>
                </c:pt>
                <c:pt idx="14">
                  <c:v>563</c:v>
                </c:pt>
                <c:pt idx="15">
                  <c:v>428</c:v>
                </c:pt>
                <c:pt idx="16">
                  <c:v>542</c:v>
                </c:pt>
                <c:pt idx="17">
                  <c:v>544</c:v>
                </c:pt>
                <c:pt idx="18">
                  <c:v>981</c:v>
                </c:pt>
                <c:pt idx="19">
                  <c:v>1204</c:v>
                </c:pt>
                <c:pt idx="20">
                  <c:v>379</c:v>
                </c:pt>
                <c:pt idx="21">
                  <c:v>247</c:v>
                </c:pt>
                <c:pt idx="22">
                  <c:v>215</c:v>
                </c:pt>
                <c:pt idx="23">
                  <c:v>205</c:v>
                </c:pt>
                <c:pt idx="24">
                  <c:v>256</c:v>
                </c:pt>
              </c:numCache>
            </c:numRef>
          </c:val>
        </c:ser>
        <c:ser>
          <c:idx val="2"/>
          <c:order val="2"/>
          <c:tx>
            <c:strRef>
              <c:f>Sheet2!$F$61:$F$62</c:f>
              <c:strCache>
                <c:ptCount val="1"/>
                <c:pt idx="0">
                  <c:v>Class 3 Light Trucks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Sheet2!$F$63:$F$87</c:f>
              <c:numCache>
                <c:formatCode>General</c:formatCode>
                <c:ptCount val="25"/>
                <c:pt idx="1">
                  <c:v>15</c:v>
                </c:pt>
                <c:pt idx="2">
                  <c:v>7</c:v>
                </c:pt>
                <c:pt idx="3">
                  <c:v>3</c:v>
                </c:pt>
                <c:pt idx="4">
                  <c:v>3</c:v>
                </c:pt>
                <c:pt idx="5">
                  <c:v>40</c:v>
                </c:pt>
                <c:pt idx="6">
                  <c:v>79</c:v>
                </c:pt>
                <c:pt idx="7">
                  <c:v>232</c:v>
                </c:pt>
                <c:pt idx="8">
                  <c:v>306</c:v>
                </c:pt>
                <c:pt idx="9">
                  <c:v>199</c:v>
                </c:pt>
                <c:pt idx="10">
                  <c:v>131</c:v>
                </c:pt>
                <c:pt idx="11">
                  <c:v>88</c:v>
                </c:pt>
                <c:pt idx="12">
                  <c:v>135</c:v>
                </c:pt>
                <c:pt idx="13">
                  <c:v>164</c:v>
                </c:pt>
                <c:pt idx="14">
                  <c:v>126</c:v>
                </c:pt>
                <c:pt idx="15">
                  <c:v>116</c:v>
                </c:pt>
                <c:pt idx="16">
                  <c:v>136</c:v>
                </c:pt>
                <c:pt idx="17">
                  <c:v>130</c:v>
                </c:pt>
                <c:pt idx="18">
                  <c:v>218</c:v>
                </c:pt>
                <c:pt idx="19">
                  <c:v>191</c:v>
                </c:pt>
                <c:pt idx="20">
                  <c:v>60</c:v>
                </c:pt>
                <c:pt idx="21">
                  <c:v>38</c:v>
                </c:pt>
                <c:pt idx="22">
                  <c:v>21</c:v>
                </c:pt>
                <c:pt idx="23">
                  <c:v>25</c:v>
                </c:pt>
                <c:pt idx="24">
                  <c:v>14</c:v>
                </c:pt>
              </c:numCache>
            </c:numRef>
          </c:val>
        </c:ser>
        <c:ser>
          <c:idx val="3"/>
          <c:order val="3"/>
          <c:tx>
            <c:strRef>
              <c:f>Sheet2!$G$61:$G$63</c:f>
              <c:strCache>
                <c:ptCount val="1"/>
                <c:pt idx="0">
                  <c:v>Class 4 Buses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Sheet2!$G$63:$G$87</c:f>
              <c:numCache>
                <c:formatCode>General</c:formatCode>
                <c:ptCount val="25"/>
                <c:pt idx="0">
                  <c:v>0</c:v>
                </c:pt>
                <c:pt idx="1">
                  <c:v>3</c:v>
                </c:pt>
                <c:pt idx="2">
                  <c:v>4</c:v>
                </c:pt>
                <c:pt idx="3">
                  <c:v>5</c:v>
                </c:pt>
                <c:pt idx="4">
                  <c:v>2</c:v>
                </c:pt>
                <c:pt idx="5">
                  <c:v>7</c:v>
                </c:pt>
                <c:pt idx="6">
                  <c:v>23</c:v>
                </c:pt>
                <c:pt idx="7">
                  <c:v>30</c:v>
                </c:pt>
                <c:pt idx="8">
                  <c:v>28</c:v>
                </c:pt>
                <c:pt idx="9">
                  <c:v>15</c:v>
                </c:pt>
                <c:pt idx="10">
                  <c:v>14</c:v>
                </c:pt>
                <c:pt idx="11">
                  <c:v>14</c:v>
                </c:pt>
                <c:pt idx="12">
                  <c:v>14</c:v>
                </c:pt>
                <c:pt idx="13">
                  <c:v>12</c:v>
                </c:pt>
                <c:pt idx="14">
                  <c:v>12</c:v>
                </c:pt>
                <c:pt idx="15">
                  <c:v>13</c:v>
                </c:pt>
                <c:pt idx="16">
                  <c:v>14</c:v>
                </c:pt>
                <c:pt idx="17">
                  <c:v>23</c:v>
                </c:pt>
                <c:pt idx="18">
                  <c:v>14</c:v>
                </c:pt>
                <c:pt idx="19">
                  <c:v>36</c:v>
                </c:pt>
                <c:pt idx="20">
                  <c:v>12</c:v>
                </c:pt>
                <c:pt idx="21">
                  <c:v>13</c:v>
                </c:pt>
                <c:pt idx="22">
                  <c:v>10</c:v>
                </c:pt>
                <c:pt idx="23">
                  <c:v>7</c:v>
                </c:pt>
                <c:pt idx="24">
                  <c:v>6</c:v>
                </c:pt>
              </c:numCache>
            </c:numRef>
          </c:val>
        </c:ser>
        <c:ser>
          <c:idx val="4"/>
          <c:order val="4"/>
          <c:tx>
            <c:strRef>
              <c:f>Sheet2!$H$60:$H$61</c:f>
              <c:strCache>
                <c:ptCount val="1"/>
                <c:pt idx="0">
                  <c:v>Single Unit Trucks Class 5</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Sheet2!$H$63:$H$87</c:f>
              <c:numCache>
                <c:formatCode>General</c:formatCode>
                <c:ptCount val="25"/>
                <c:pt idx="1">
                  <c:v>1</c:v>
                </c:pt>
                <c:pt idx="2">
                  <c:v>1</c:v>
                </c:pt>
                <c:pt idx="3">
                  <c:v>0</c:v>
                </c:pt>
                <c:pt idx="4">
                  <c:v>0</c:v>
                </c:pt>
                <c:pt idx="5">
                  <c:v>2</c:v>
                </c:pt>
                <c:pt idx="6">
                  <c:v>5</c:v>
                </c:pt>
                <c:pt idx="7">
                  <c:v>15</c:v>
                </c:pt>
                <c:pt idx="8">
                  <c:v>20</c:v>
                </c:pt>
                <c:pt idx="9">
                  <c:v>21</c:v>
                </c:pt>
                <c:pt idx="10">
                  <c:v>23</c:v>
                </c:pt>
                <c:pt idx="11">
                  <c:v>25</c:v>
                </c:pt>
                <c:pt idx="12">
                  <c:v>23</c:v>
                </c:pt>
                <c:pt idx="13">
                  <c:v>24</c:v>
                </c:pt>
                <c:pt idx="14">
                  <c:v>26</c:v>
                </c:pt>
                <c:pt idx="15">
                  <c:v>32</c:v>
                </c:pt>
                <c:pt idx="16">
                  <c:v>20</c:v>
                </c:pt>
                <c:pt idx="17">
                  <c:v>11</c:v>
                </c:pt>
                <c:pt idx="18">
                  <c:v>11</c:v>
                </c:pt>
                <c:pt idx="19">
                  <c:v>9</c:v>
                </c:pt>
                <c:pt idx="20">
                  <c:v>4</c:v>
                </c:pt>
                <c:pt idx="21">
                  <c:v>6</c:v>
                </c:pt>
                <c:pt idx="22">
                  <c:v>8</c:v>
                </c:pt>
                <c:pt idx="23">
                  <c:v>5</c:v>
                </c:pt>
                <c:pt idx="24">
                  <c:v>1</c:v>
                </c:pt>
              </c:numCache>
            </c:numRef>
          </c:val>
        </c:ser>
        <c:ser>
          <c:idx val="5"/>
          <c:order val="5"/>
          <c:tx>
            <c:strRef>
              <c:f>Sheet2!$I$60:$I$61</c:f>
              <c:strCache>
                <c:ptCount val="1"/>
                <c:pt idx="0">
                  <c:v>Single Unit Trucks Class 6</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Sheet2!$I$63:$I$87</c:f>
              <c:numCache>
                <c:formatCode>General</c:formatCode>
                <c:ptCount val="25"/>
                <c:pt idx="0">
                  <c:v>0</c:v>
                </c:pt>
                <c:pt idx="1">
                  <c:v>15</c:v>
                </c:pt>
                <c:pt idx="2">
                  <c:v>17</c:v>
                </c:pt>
                <c:pt idx="3">
                  <c:v>3</c:v>
                </c:pt>
                <c:pt idx="4">
                  <c:v>9</c:v>
                </c:pt>
                <c:pt idx="5">
                  <c:v>11</c:v>
                </c:pt>
                <c:pt idx="6">
                  <c:v>17</c:v>
                </c:pt>
                <c:pt idx="7">
                  <c:v>20</c:v>
                </c:pt>
                <c:pt idx="8">
                  <c:v>60</c:v>
                </c:pt>
                <c:pt idx="9">
                  <c:v>56</c:v>
                </c:pt>
                <c:pt idx="10">
                  <c:v>71</c:v>
                </c:pt>
                <c:pt idx="11">
                  <c:v>68</c:v>
                </c:pt>
                <c:pt idx="12">
                  <c:v>66</c:v>
                </c:pt>
                <c:pt idx="13">
                  <c:v>73</c:v>
                </c:pt>
                <c:pt idx="14">
                  <c:v>66</c:v>
                </c:pt>
                <c:pt idx="15">
                  <c:v>57</c:v>
                </c:pt>
                <c:pt idx="16">
                  <c:v>69</c:v>
                </c:pt>
                <c:pt idx="17">
                  <c:v>75</c:v>
                </c:pt>
                <c:pt idx="18">
                  <c:v>43</c:v>
                </c:pt>
                <c:pt idx="19">
                  <c:v>32</c:v>
                </c:pt>
                <c:pt idx="20">
                  <c:v>25</c:v>
                </c:pt>
                <c:pt idx="21">
                  <c:v>16</c:v>
                </c:pt>
                <c:pt idx="22">
                  <c:v>18</c:v>
                </c:pt>
                <c:pt idx="23">
                  <c:v>11</c:v>
                </c:pt>
                <c:pt idx="24">
                  <c:v>14</c:v>
                </c:pt>
              </c:numCache>
            </c:numRef>
          </c:val>
        </c:ser>
        <c:ser>
          <c:idx val="6"/>
          <c:order val="6"/>
          <c:tx>
            <c:strRef>
              <c:f>Sheet2!$J$60:$J$61</c:f>
              <c:strCache>
                <c:ptCount val="1"/>
                <c:pt idx="0">
                  <c:v>Single Trailer Trucks Class 7</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Sheet2!$J$63:$J$87</c:f>
              <c:numCache>
                <c:formatCode>General</c:formatCode>
                <c:ptCount val="25"/>
                <c:pt idx="0">
                  <c:v>0</c:v>
                </c:pt>
                <c:pt idx="1">
                  <c:v>1</c:v>
                </c:pt>
                <c:pt idx="2">
                  <c:v>1</c:v>
                </c:pt>
                <c:pt idx="3">
                  <c:v>0</c:v>
                </c:pt>
                <c:pt idx="4">
                  <c:v>0</c:v>
                </c:pt>
                <c:pt idx="5">
                  <c:v>0</c:v>
                </c:pt>
                <c:pt idx="6">
                  <c:v>4</c:v>
                </c:pt>
                <c:pt idx="7">
                  <c:v>5</c:v>
                </c:pt>
                <c:pt idx="8">
                  <c:v>3</c:v>
                </c:pt>
                <c:pt idx="9">
                  <c:v>2</c:v>
                </c:pt>
                <c:pt idx="10">
                  <c:v>3</c:v>
                </c:pt>
                <c:pt idx="11">
                  <c:v>3</c:v>
                </c:pt>
                <c:pt idx="12">
                  <c:v>3</c:v>
                </c:pt>
                <c:pt idx="13">
                  <c:v>0</c:v>
                </c:pt>
                <c:pt idx="14">
                  <c:v>3</c:v>
                </c:pt>
                <c:pt idx="15">
                  <c:v>2</c:v>
                </c:pt>
                <c:pt idx="16">
                  <c:v>1</c:v>
                </c:pt>
                <c:pt idx="17">
                  <c:v>1</c:v>
                </c:pt>
                <c:pt idx="18">
                  <c:v>0</c:v>
                </c:pt>
                <c:pt idx="19">
                  <c:v>2</c:v>
                </c:pt>
                <c:pt idx="20">
                  <c:v>1</c:v>
                </c:pt>
                <c:pt idx="21">
                  <c:v>0</c:v>
                </c:pt>
                <c:pt idx="22">
                  <c:v>0</c:v>
                </c:pt>
                <c:pt idx="23">
                  <c:v>1</c:v>
                </c:pt>
                <c:pt idx="24">
                  <c:v>2</c:v>
                </c:pt>
              </c:numCache>
            </c:numRef>
          </c:val>
        </c:ser>
        <c:ser>
          <c:idx val="7"/>
          <c:order val="7"/>
          <c:tx>
            <c:strRef>
              <c:f>Sheet2!$K$60:$K$61</c:f>
              <c:strCache>
                <c:ptCount val="1"/>
                <c:pt idx="0">
                  <c:v>Single Trailer Trucks Class 8</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Sheet2!$K$63:$K$87</c:f>
              <c:numCache>
                <c:formatCode>General</c:formatCode>
                <c:ptCount val="25"/>
                <c:pt idx="0">
                  <c:v>0</c:v>
                </c:pt>
                <c:pt idx="1">
                  <c:v>3</c:v>
                </c:pt>
                <c:pt idx="2">
                  <c:v>3</c:v>
                </c:pt>
                <c:pt idx="3">
                  <c:v>4</c:v>
                </c:pt>
                <c:pt idx="4">
                  <c:v>2</c:v>
                </c:pt>
                <c:pt idx="5">
                  <c:v>3</c:v>
                </c:pt>
                <c:pt idx="6">
                  <c:v>6</c:v>
                </c:pt>
                <c:pt idx="7">
                  <c:v>8</c:v>
                </c:pt>
                <c:pt idx="8">
                  <c:v>10</c:v>
                </c:pt>
                <c:pt idx="9">
                  <c:v>10</c:v>
                </c:pt>
                <c:pt idx="10">
                  <c:v>11</c:v>
                </c:pt>
                <c:pt idx="11">
                  <c:v>10</c:v>
                </c:pt>
                <c:pt idx="12">
                  <c:v>10</c:v>
                </c:pt>
                <c:pt idx="13">
                  <c:v>20</c:v>
                </c:pt>
                <c:pt idx="14">
                  <c:v>15</c:v>
                </c:pt>
                <c:pt idx="15">
                  <c:v>20</c:v>
                </c:pt>
                <c:pt idx="16">
                  <c:v>18</c:v>
                </c:pt>
                <c:pt idx="17">
                  <c:v>18</c:v>
                </c:pt>
                <c:pt idx="18">
                  <c:v>10</c:v>
                </c:pt>
                <c:pt idx="19">
                  <c:v>9</c:v>
                </c:pt>
                <c:pt idx="20">
                  <c:v>3</c:v>
                </c:pt>
                <c:pt idx="21">
                  <c:v>3</c:v>
                </c:pt>
                <c:pt idx="22">
                  <c:v>5</c:v>
                </c:pt>
                <c:pt idx="23">
                  <c:v>1</c:v>
                </c:pt>
                <c:pt idx="24">
                  <c:v>0</c:v>
                </c:pt>
              </c:numCache>
            </c:numRef>
          </c:val>
        </c:ser>
        <c:ser>
          <c:idx val="8"/>
          <c:order val="8"/>
          <c:tx>
            <c:strRef>
              <c:f>Sheet2!$L$60:$L$61</c:f>
              <c:strCache>
                <c:ptCount val="1"/>
                <c:pt idx="0">
                  <c:v>Multi-Trailer Trucks Class 9</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Sheet2!$L$63:$L$87</c:f>
              <c:numCache>
                <c:formatCode>General</c:formatCode>
                <c:ptCount val="25"/>
                <c:pt idx="0">
                  <c:v>0</c:v>
                </c:pt>
                <c:pt idx="1">
                  <c:v>3</c:v>
                </c:pt>
                <c:pt idx="2">
                  <c:v>15</c:v>
                </c:pt>
                <c:pt idx="3">
                  <c:v>10</c:v>
                </c:pt>
                <c:pt idx="4">
                  <c:v>14</c:v>
                </c:pt>
                <c:pt idx="5">
                  <c:v>9</c:v>
                </c:pt>
                <c:pt idx="6">
                  <c:v>21</c:v>
                </c:pt>
                <c:pt idx="7">
                  <c:v>36</c:v>
                </c:pt>
                <c:pt idx="8">
                  <c:v>88</c:v>
                </c:pt>
                <c:pt idx="9">
                  <c:v>144</c:v>
                </c:pt>
                <c:pt idx="10">
                  <c:v>181</c:v>
                </c:pt>
                <c:pt idx="11">
                  <c:v>198</c:v>
                </c:pt>
                <c:pt idx="12">
                  <c:v>211</c:v>
                </c:pt>
                <c:pt idx="13">
                  <c:v>168</c:v>
                </c:pt>
                <c:pt idx="14">
                  <c:v>202</c:v>
                </c:pt>
                <c:pt idx="15">
                  <c:v>181</c:v>
                </c:pt>
                <c:pt idx="16">
                  <c:v>156</c:v>
                </c:pt>
                <c:pt idx="17">
                  <c:v>110</c:v>
                </c:pt>
                <c:pt idx="18">
                  <c:v>64</c:v>
                </c:pt>
                <c:pt idx="19">
                  <c:v>15</c:v>
                </c:pt>
                <c:pt idx="20">
                  <c:v>14</c:v>
                </c:pt>
                <c:pt idx="21">
                  <c:v>16</c:v>
                </c:pt>
                <c:pt idx="22">
                  <c:v>8</c:v>
                </c:pt>
                <c:pt idx="23">
                  <c:v>9</c:v>
                </c:pt>
                <c:pt idx="24">
                  <c:v>9</c:v>
                </c:pt>
              </c:numCache>
            </c:numRef>
          </c:val>
        </c:ser>
        <c:ser>
          <c:idx val="9"/>
          <c:order val="9"/>
          <c:tx>
            <c:strRef>
              <c:f>Sheet2!$M$60:$M$61</c:f>
              <c:strCache>
                <c:ptCount val="1"/>
                <c:pt idx="0">
                  <c:v>Multi-Trailer Trucks Class 10</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Sheet2!$M$63:$M$87</c:f>
              <c:numCache>
                <c:formatCode>General</c:formatCode>
                <c:ptCount val="25"/>
                <c:pt idx="0">
                  <c:v>0</c:v>
                </c:pt>
                <c:pt idx="1">
                  <c:v>0</c:v>
                </c:pt>
                <c:pt idx="2">
                  <c:v>1</c:v>
                </c:pt>
                <c:pt idx="3">
                  <c:v>3</c:v>
                </c:pt>
                <c:pt idx="4">
                  <c:v>0</c:v>
                </c:pt>
                <c:pt idx="5">
                  <c:v>0</c:v>
                </c:pt>
                <c:pt idx="6">
                  <c:v>2</c:v>
                </c:pt>
                <c:pt idx="7">
                  <c:v>6</c:v>
                </c:pt>
                <c:pt idx="8">
                  <c:v>11</c:v>
                </c:pt>
                <c:pt idx="9">
                  <c:v>14</c:v>
                </c:pt>
                <c:pt idx="10">
                  <c:v>15</c:v>
                </c:pt>
                <c:pt idx="11">
                  <c:v>28</c:v>
                </c:pt>
                <c:pt idx="12">
                  <c:v>20</c:v>
                </c:pt>
                <c:pt idx="13">
                  <c:v>12</c:v>
                </c:pt>
                <c:pt idx="14">
                  <c:v>8</c:v>
                </c:pt>
                <c:pt idx="15">
                  <c:v>15</c:v>
                </c:pt>
                <c:pt idx="16">
                  <c:v>10</c:v>
                </c:pt>
                <c:pt idx="17">
                  <c:v>14</c:v>
                </c:pt>
                <c:pt idx="18">
                  <c:v>1</c:v>
                </c:pt>
                <c:pt idx="19">
                  <c:v>0</c:v>
                </c:pt>
                <c:pt idx="20">
                  <c:v>0</c:v>
                </c:pt>
                <c:pt idx="21">
                  <c:v>0</c:v>
                </c:pt>
                <c:pt idx="22">
                  <c:v>0</c:v>
                </c:pt>
                <c:pt idx="23">
                  <c:v>0</c:v>
                </c:pt>
                <c:pt idx="24">
                  <c:v>0</c:v>
                </c:pt>
              </c:numCache>
            </c:numRef>
          </c:val>
        </c:ser>
        <c:ser>
          <c:idx val="10"/>
          <c:order val="10"/>
          <c:tx>
            <c:strRef>
              <c:f>Sheet2!$N$60:$N$61</c:f>
              <c:strCache>
                <c:ptCount val="1"/>
                <c:pt idx="0">
                  <c:v>Multi-Trailer Trucks Class 11</c:v>
                </c:pt>
              </c:strCache>
            </c:strRef>
          </c:tx>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Sheet2!$N$63:$N$87</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ser>
          <c:idx val="11"/>
          <c:order val="11"/>
          <c:tx>
            <c:strRef>
              <c:f>Sheet2!$O$60:$O$61</c:f>
              <c:strCache>
                <c:ptCount val="1"/>
                <c:pt idx="0">
                  <c:v>Multi-Trailer Trucks Class 12</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Sheet2!$O$63:$O$87</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ser>
          <c:idx val="12"/>
          <c:order val="12"/>
          <c:tx>
            <c:strRef>
              <c:f>Sheet2!$P$60:$P$61</c:f>
              <c:strCache>
                <c:ptCount val="1"/>
                <c:pt idx="0">
                  <c:v>Multi-Trailer Trucks Class 13</c:v>
                </c:pt>
              </c:strCache>
            </c:strRef>
          </c:tx>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Sheet2!$P$63:$P$87</c:f>
              <c:numCache>
                <c:formatCode>General</c:formatCode>
                <c:ptCount val="25"/>
                <c:pt idx="0">
                  <c:v>0</c:v>
                </c:pt>
                <c:pt idx="1">
                  <c:v>0</c:v>
                </c:pt>
                <c:pt idx="2">
                  <c:v>0</c:v>
                </c:pt>
                <c:pt idx="3">
                  <c:v>1</c:v>
                </c:pt>
                <c:pt idx="4">
                  <c:v>0</c:v>
                </c:pt>
                <c:pt idx="5">
                  <c:v>0</c:v>
                </c:pt>
                <c:pt idx="6">
                  <c:v>0</c:v>
                </c:pt>
                <c:pt idx="7">
                  <c:v>0</c:v>
                </c:pt>
                <c:pt idx="8">
                  <c:v>0</c:v>
                </c:pt>
                <c:pt idx="9">
                  <c:v>0</c:v>
                </c:pt>
                <c:pt idx="10">
                  <c:v>1</c:v>
                </c:pt>
                <c:pt idx="11">
                  <c:v>3</c:v>
                </c:pt>
                <c:pt idx="12">
                  <c:v>0</c:v>
                </c:pt>
                <c:pt idx="13">
                  <c:v>0</c:v>
                </c:pt>
                <c:pt idx="14">
                  <c:v>0</c:v>
                </c:pt>
                <c:pt idx="15">
                  <c:v>2</c:v>
                </c:pt>
                <c:pt idx="16">
                  <c:v>1</c:v>
                </c:pt>
                <c:pt idx="17">
                  <c:v>2</c:v>
                </c:pt>
                <c:pt idx="18">
                  <c:v>0</c:v>
                </c:pt>
                <c:pt idx="19">
                  <c:v>0</c:v>
                </c:pt>
                <c:pt idx="20">
                  <c:v>0</c:v>
                </c:pt>
                <c:pt idx="21">
                  <c:v>0</c:v>
                </c:pt>
                <c:pt idx="22">
                  <c:v>0</c:v>
                </c:pt>
                <c:pt idx="23">
                  <c:v>0</c:v>
                </c:pt>
                <c:pt idx="24">
                  <c:v>0</c:v>
                </c:pt>
              </c:numCache>
            </c:numRef>
          </c:val>
        </c:ser>
        <c:dLbls>
          <c:showLegendKey val="0"/>
          <c:showVal val="0"/>
          <c:showCatName val="0"/>
          <c:showSerName val="0"/>
          <c:showPercent val="0"/>
          <c:showBubbleSize val="0"/>
        </c:dLbls>
        <c:gapWidth val="150"/>
        <c:overlap val="100"/>
        <c:axId val="45712128"/>
        <c:axId val="45713664"/>
      </c:barChart>
      <c:catAx>
        <c:axId val="457121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crossAx val="45713664"/>
        <c:crosses val="autoZero"/>
        <c:auto val="1"/>
        <c:lblAlgn val="ctr"/>
        <c:lblOffset val="100"/>
        <c:noMultiLvlLbl val="0"/>
      </c:catAx>
      <c:valAx>
        <c:axId val="45713664"/>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crossAx val="45712128"/>
        <c:crosses val="autoZero"/>
        <c:crossBetween val="between"/>
      </c:valAx>
      <c:spPr>
        <a:noFill/>
        <a:ln>
          <a:noFill/>
        </a:ln>
        <a:effectLst/>
      </c:spPr>
    </c:plotArea>
    <c:legend>
      <c:legendPos val="b"/>
      <c:layout>
        <c:manualLayout>
          <c:xMode val="edge"/>
          <c:yMode val="edge"/>
          <c:x val="0.0950400272130932"/>
          <c:y val="0.673921778296231"/>
          <c:w val="0.802065102686906"/>
          <c:h val="0.3260782217037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sz="900">
          <a:latin typeface="Lucida Bright" panose="02040602050505020304" pitchFamily="1" charset="0"/>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19B00-CE40-4427-9C00-6F48062D45CA}">
  <ds:schemaRefs/>
</ds:datastoreItem>
</file>

<file path=docProps/app.xml><?xml version="1.0" encoding="utf-8"?>
<Properties xmlns="http://schemas.openxmlformats.org/officeDocument/2006/extended-properties" xmlns:vt="http://schemas.openxmlformats.org/officeDocument/2006/docPropsVTypes">
  <Template>Normal</Template>
  <Company>Civil Engineering, McGill Univ.</Company>
  <Pages>12</Pages>
  <Words>3817</Words>
  <Characters>19865</Characters>
  <Lines>447</Lines>
  <Paragraphs>125</Paragraphs>
  <TotalTime>87</TotalTime>
  <ScaleCrop>false</ScaleCrop>
  <LinksUpToDate>false</LinksUpToDate>
  <CharactersWithSpaces>23253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2022-04-21T17:20:00Z</dcterms:created>
  <dc:creator>Ijeoma Walter</dc:creator>
  <cp:lastModifiedBy>Young_</cp:lastModifiedBy>
  <cp:lastPrinted>2021-12-27T16:44:00Z</cp:lastPrinted>
  <dcterms:modified xsi:type="dcterms:W3CDTF">2022-04-28T01:18:20Z</dcterms:modified>
  <dc:title>Author Instructions for Extended Abstract</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id="FxiH9VOF"/&gt;&lt;style id="http://www.zotero.org/styles/transportation-research-record" hasBibliography="1" bibliographyStyleHasBeenSet="1"/&gt;&lt;prefs&gt;&lt;pref name="fieldType" value="Field"/&gt;&lt;/prefs&gt;&lt;/data</vt:lpwstr>
  </property>
  <property fmtid="{D5CDD505-2E9C-101B-9397-08002B2CF9AE}" pid="3" name="ZOTERO_PREF_2">
    <vt:lpwstr>&gt;</vt:lpwstr>
  </property>
  <property fmtid="{D5CDD505-2E9C-101B-9397-08002B2CF9AE}" pid="4" name="KSOProductBuildVer">
    <vt:lpwstr>2052-11.1.0.11636</vt:lpwstr>
  </property>
  <property fmtid="{D5CDD505-2E9C-101B-9397-08002B2CF9AE}" pid="5" name="ICV">
    <vt:lpwstr>43D86289EF854CEC9E3B3B6CD8CA8F47</vt:lpwstr>
  </property>
</Properties>
</file>