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sz w:val="18"/>
          <w:szCs w:val="18"/>
          <w:lang w:val="en-US" w:eastAsia="zh-CN"/>
        </w:rPr>
      </w:pPr>
      <w:r>
        <w:rPr>
          <w:rFonts w:hint="eastAsia"/>
          <w:b/>
          <w:bCs/>
          <w:color w:val="auto"/>
          <w:sz w:val="24"/>
          <w:szCs w:val="24"/>
        </w:rPr>
        <w:t>Study on the effect of high-quality nursing combined with breathing exercises on patients with chronic obstructive pulmonary disease</w:t>
      </w:r>
    </w:p>
    <w:p>
      <w:pPr>
        <w:jc w:val="center"/>
        <w:rPr>
          <w:rFonts w:hint="eastAsia" w:ascii="微软雅黑" w:hAnsi="微软雅黑" w:eastAsia="微软雅黑"/>
          <w:sz w:val="18"/>
          <w:szCs w:val="18"/>
        </w:rPr>
      </w:pPr>
      <w:r>
        <w:rPr>
          <w:rFonts w:hint="eastAsia" w:ascii="微软雅黑" w:hAnsi="微软雅黑" w:eastAsia="微软雅黑"/>
          <w:sz w:val="18"/>
          <w:szCs w:val="18"/>
        </w:rPr>
        <w:t>Jiangjiefeng</w:t>
      </w:r>
    </w:p>
    <w:p>
      <w:pPr>
        <w:jc w:val="center"/>
        <w:rPr>
          <w:rFonts w:hint="eastAsia" w:ascii="微软雅黑" w:hAnsi="微软雅黑" w:eastAsia="微软雅黑"/>
          <w:sz w:val="18"/>
          <w:szCs w:val="18"/>
        </w:rPr>
      </w:pPr>
      <w:r>
        <w:rPr>
          <w:rFonts w:hint="eastAsia" w:ascii="微软雅黑" w:hAnsi="微软雅黑" w:eastAsia="微软雅黑"/>
          <w:sz w:val="18"/>
          <w:szCs w:val="18"/>
          <w:lang w:val="en-US" w:eastAsia="zh-CN"/>
        </w:rPr>
        <w:t>姜洁凤</w:t>
      </w:r>
    </w:p>
    <w:p>
      <w:pPr>
        <w:jc w:val="center"/>
        <w:rPr>
          <w:rFonts w:hint="eastAsia" w:ascii="微软雅黑" w:hAnsi="微软雅黑" w:eastAsia="微软雅黑"/>
          <w:sz w:val="18"/>
          <w:szCs w:val="18"/>
          <w:lang w:val="en-US" w:eastAsia="zh-CN"/>
        </w:rPr>
      </w:pPr>
      <w:r>
        <w:rPr>
          <w:rFonts w:hint="eastAsia" w:ascii="微软雅黑" w:hAnsi="微软雅黑" w:eastAsia="微软雅黑"/>
          <w:sz w:val="18"/>
          <w:szCs w:val="18"/>
        </w:rPr>
        <w:t>Infectious Disease Hospital of Chongming，Shanghai</w:t>
      </w:r>
      <w:r>
        <w:rPr>
          <w:rFonts w:hint="eastAsia" w:ascii="微软雅黑" w:hAnsi="微软雅黑" w:eastAsia="微软雅黑"/>
          <w:sz w:val="18"/>
          <w:szCs w:val="18"/>
          <w:lang w:val="en-US" w:eastAsia="zh-CN"/>
        </w:rPr>
        <w:t xml:space="preserve"> 202150</w:t>
      </w:r>
    </w:p>
    <w:p>
      <w:pPr>
        <w:jc w:val="center"/>
        <w:rPr>
          <w:rFonts w:hint="eastAsia" w:ascii="微软雅黑" w:hAnsi="微软雅黑" w:eastAsia="微软雅黑"/>
          <w:sz w:val="18"/>
          <w:szCs w:val="18"/>
          <w:lang w:val="en-US" w:eastAsia="zh-CN"/>
        </w:rPr>
      </w:pPr>
      <w:r>
        <w:rPr>
          <w:rFonts w:hint="eastAsia" w:ascii="微软雅黑" w:hAnsi="微软雅黑" w:eastAsia="微软雅黑"/>
          <w:sz w:val="18"/>
          <w:szCs w:val="18"/>
          <w:lang w:val="en-US" w:eastAsia="zh-CN"/>
        </w:rPr>
        <w:t>【作者简介】姜洁凤 （1979—10）女，汉，上海崇明人，主管护师，从事感染性疾病护理，本科毕业，邮编：202150</w:t>
      </w:r>
    </w:p>
    <w:p>
      <w:pPr>
        <w:rPr>
          <w:rFonts w:hint="eastAsia"/>
          <w:color w:val="auto"/>
        </w:rPr>
      </w:pPr>
      <w:r>
        <w:rPr>
          <w:rFonts w:hint="eastAsia"/>
          <w:color w:val="auto"/>
        </w:rPr>
        <w:t>【Abstract】Objective: To study the effect of high-quality nursing combined with breathing exercises on patients with COPD. Methods: Using the random number table method of medical experiments, 60 patients with COPD received in our hospital from March 2020 to March 2021 were used as research samples. According to the differences in treatment measures, they were equally divided into control group and intervention group. Symptomatic support treatment and nursing routine, high-quality nursing combined with respiratory function exercise treatment and nursing were given respectively, and the application effects of the two groups were compared and analyzed. Results: The controllable rate of disease between the intervention group and the control group was 93.33% (28/30) and 66.67% (20/30) respectively, which was statistically significant (P&lt;0.05). The comparison between the intervention group and the control group on the pulmonary function indexes of VT</w:t>
      </w:r>
      <w:r>
        <w:rPr>
          <w:rFonts w:hint="eastAsia"/>
          <w:color w:val="auto"/>
          <w:lang w:eastAsia="zh-CN"/>
        </w:rPr>
        <w:t>、</w:t>
      </w:r>
      <w:r>
        <w:rPr>
          <w:rFonts w:hint="eastAsia"/>
          <w:color w:val="auto"/>
        </w:rPr>
        <w:t>TPTEF/Te</w:t>
      </w:r>
      <w:r>
        <w:rPr>
          <w:rFonts w:hint="eastAsia"/>
          <w:color w:val="auto"/>
          <w:lang w:eastAsia="zh-CN"/>
        </w:rPr>
        <w:t>、</w:t>
      </w:r>
      <w:r>
        <w:rPr>
          <w:rFonts w:hint="eastAsia"/>
          <w:color w:val="auto"/>
        </w:rPr>
        <w:t>VEF/Te/</w:t>
      </w:r>
      <w:r>
        <w:rPr>
          <w:rFonts w:hint="eastAsia"/>
          <w:color w:val="auto"/>
          <w:lang w:eastAsia="zh-CN"/>
        </w:rPr>
        <w:t>、</w:t>
      </w:r>
      <w:r>
        <w:rPr>
          <w:rFonts w:hint="eastAsia"/>
          <w:color w:val="auto"/>
        </w:rPr>
        <w:t>Ti/Te was statistically significant (P&lt;0.05). The results of the intervention group on exercise pulse and 6-minute walking distance were significantly higher than those of the control group (P&lt;0.05). Conclusion: The combination of high-quality nursing care and breathing exercises has outstanding disease controllable rate in patients with COPD, especially in improving the lung function of the patients and the level of treatment and care. It can be used as a feasible measure in the subsequent clinical treatment and nursing practice of patients. It is worthy of clinical promotion and implementation.</w:t>
      </w:r>
    </w:p>
    <w:p>
      <w:pPr>
        <w:rPr>
          <w:rFonts w:hint="eastAsia"/>
          <w:color w:val="auto"/>
        </w:rPr>
      </w:pPr>
      <w:r>
        <w:rPr>
          <w:rFonts w:hint="eastAsia"/>
          <w:b/>
          <w:bCs/>
          <w:color w:val="auto"/>
        </w:rPr>
        <w:t xml:space="preserve">[Keywords] </w:t>
      </w:r>
      <w:r>
        <w:rPr>
          <w:rFonts w:hint="eastAsia"/>
          <w:color w:val="auto"/>
        </w:rPr>
        <w:t>high-quality care; breathing exercises; chronic obstructive pulmonary disease</w:t>
      </w:r>
    </w:p>
    <w:p>
      <w:pPr>
        <w:rPr>
          <w:rFonts w:hint="eastAsia"/>
          <w:color w:val="auto"/>
        </w:rPr>
      </w:pPr>
    </w:p>
    <w:p>
      <w:pPr>
        <w:ind w:firstLine="420" w:firstLineChars="200"/>
        <w:rPr>
          <w:rFonts w:hint="eastAsia"/>
          <w:color w:val="auto"/>
        </w:rPr>
      </w:pPr>
      <w:r>
        <w:rPr>
          <w:rFonts w:hint="eastAsia"/>
          <w:color w:val="auto"/>
        </w:rPr>
        <w:t xml:space="preserve">Chronic obstructive pulmonary disease (COPD) is a common disease in respiratory medicine, which mostly occurs in the elderly. The clinical manifestations of patients include chronic chronic cough, sputum expectoration, and obvious shortness of breath during activities, which can cause great harm to the quality of life of patients </w:t>
      </w:r>
      <w:r>
        <w:rPr>
          <w:rFonts w:hint="eastAsia"/>
          <w:color w:val="auto"/>
          <w:vertAlign w:val="superscript"/>
        </w:rPr>
        <w:t>[1]</w:t>
      </w:r>
      <w:r>
        <w:rPr>
          <w:rFonts w:hint="eastAsia"/>
          <w:color w:val="auto"/>
        </w:rPr>
        <w:t xml:space="preserve">. Conventional treatment is mainly symptomatic treatment, but the progressive progress of the disease can cause further damage to the patient’s lung function indicators, and the application of respiratory function exercises in conjunction with high-quality nursing methods in the patient’s practice will play a role in the patient’s disease treatment practice A prominent effect </w:t>
      </w:r>
      <w:r>
        <w:rPr>
          <w:rFonts w:hint="eastAsia"/>
          <w:color w:val="auto"/>
          <w:vertAlign w:val="superscript"/>
        </w:rPr>
        <w:t>[2].</w:t>
      </w:r>
      <w:r>
        <w:rPr>
          <w:rFonts w:hint="eastAsia"/>
          <w:color w:val="auto"/>
        </w:rPr>
        <w:t xml:space="preserve"> This article is to explore the impact of high-quality nursing combined with respiratory exercises on lung function and exercise endurance of patients with COPD. An experimental study was conducted on 60 patients with COPD from March 2020 to March 2021 in the Department of Respiratory Medicine of our hospital. The relevant information is summarized. as follows:</w:t>
      </w:r>
    </w:p>
    <w:p>
      <w:pPr>
        <w:rPr>
          <w:rFonts w:hint="eastAsia"/>
          <w:color w:val="auto"/>
        </w:rPr>
      </w:pPr>
      <w:r>
        <w:rPr>
          <w:rFonts w:hint="eastAsia"/>
          <w:color w:val="auto"/>
        </w:rPr>
        <w:t>1. Materials and methods</w:t>
      </w:r>
    </w:p>
    <w:p>
      <w:pPr>
        <w:rPr>
          <w:rFonts w:hint="eastAsia"/>
          <w:color w:val="auto"/>
        </w:rPr>
      </w:pPr>
      <w:r>
        <w:rPr>
          <w:rFonts w:hint="eastAsia"/>
          <w:color w:val="auto"/>
        </w:rPr>
        <w:t>1.1 General information</w:t>
      </w:r>
    </w:p>
    <w:p>
      <w:pPr>
        <w:ind w:firstLine="420" w:firstLineChars="200"/>
        <w:rPr>
          <w:rFonts w:hint="eastAsia"/>
          <w:color w:val="auto"/>
        </w:rPr>
      </w:pPr>
      <w:r>
        <w:rPr>
          <w:rFonts w:hint="eastAsia"/>
          <w:color w:val="auto"/>
        </w:rPr>
        <w:t xml:space="preserve">Using the random number table of medical experiments, 60 patients with chronic obstructive pulmonary disease received in our hospital from March 2020 to March 2021 were used as research samples. All patients included in the research category are in compliance with the </w:t>
      </w:r>
      <w:r>
        <w:rPr>
          <w:rFonts w:hint="eastAsia"/>
          <w:color w:val="auto"/>
          <w:lang w:eastAsia="zh-CN"/>
        </w:rPr>
        <w:t>《</w:t>
      </w:r>
      <w:r>
        <w:rPr>
          <w:rFonts w:hint="eastAsia"/>
          <w:color w:val="auto"/>
        </w:rPr>
        <w:t>Chronic Obstructive Pulmonary Disease Diagnosis and Treatment Standards (" 2011 edition)</w:t>
      </w:r>
      <w:r>
        <w:rPr>
          <w:rFonts w:hint="eastAsia"/>
          <w:color w:val="auto"/>
          <w:lang w:eastAsia="zh-CN"/>
        </w:rPr>
        <w:t>》</w:t>
      </w:r>
      <w:r>
        <w:rPr>
          <w:rFonts w:hint="eastAsia"/>
          <w:color w:val="auto"/>
        </w:rPr>
        <w:t xml:space="preserve"> diagnostic criteria </w:t>
      </w:r>
      <w:r>
        <w:rPr>
          <w:rFonts w:hint="eastAsia"/>
          <w:color w:val="auto"/>
          <w:vertAlign w:val="superscript"/>
        </w:rPr>
        <w:t>[3].</w:t>
      </w:r>
      <w:r>
        <w:rPr>
          <w:rFonts w:hint="eastAsia"/>
          <w:color w:val="auto"/>
        </w:rPr>
        <w:t xml:space="preserve"> According to the difference of treatment measures, they were equally divided into control group and intervention group. And the comparison of the control group and the intervention group’s numerical comparisons on the gender ratio, age, and average age were 12 cases/18 cases: 13 cases/17 cases, (60-72) years: (61-71) years, (65.25±0.35) ) Years old: (65.35±0.25) years old. The difference in clinical data between the two groups is relatively small, and the comparability of this study is relatively strong.</w:t>
      </w:r>
    </w:p>
    <w:p>
      <w:pPr>
        <w:rPr>
          <w:rFonts w:hint="eastAsia"/>
          <w:color w:val="auto"/>
        </w:rPr>
      </w:pPr>
      <w:r>
        <w:rPr>
          <w:rFonts w:hint="eastAsia"/>
          <w:color w:val="auto"/>
        </w:rPr>
        <w:t>1.2 method</w:t>
      </w:r>
    </w:p>
    <w:p>
      <w:pPr>
        <w:ind w:firstLine="420" w:firstLineChars="200"/>
        <w:rPr>
          <w:rFonts w:hint="eastAsia"/>
          <w:color w:val="auto"/>
        </w:rPr>
      </w:pPr>
      <w:r>
        <w:rPr>
          <w:rFonts w:hint="eastAsia"/>
          <w:color w:val="auto"/>
        </w:rPr>
        <w:t>Symptomatic support treatment and nursing routine, high-quality nursing combined with respiratory function exercise treatment and nursing were given respectively, and the application effects of the two groups were compared and analyzed.</w:t>
      </w:r>
    </w:p>
    <w:p>
      <w:pPr>
        <w:rPr>
          <w:rFonts w:hint="eastAsia"/>
          <w:color w:val="auto"/>
        </w:rPr>
      </w:pPr>
      <w:r>
        <w:rPr>
          <w:rFonts w:hint="eastAsia"/>
          <w:color w:val="auto"/>
          <w:lang w:val="en-US" w:eastAsia="zh-CN"/>
        </w:rPr>
        <w:t xml:space="preserve">1.2.1 </w:t>
      </w:r>
      <w:r>
        <w:rPr>
          <w:rFonts w:hint="eastAsia"/>
          <w:color w:val="auto"/>
        </w:rPr>
        <w:t>Control group</w:t>
      </w:r>
    </w:p>
    <w:p>
      <w:pPr>
        <w:ind w:firstLine="420" w:firstLineChars="200"/>
        <w:rPr>
          <w:rFonts w:hint="eastAsia"/>
          <w:color w:val="auto"/>
        </w:rPr>
      </w:pPr>
      <w:r>
        <w:rPr>
          <w:rFonts w:hint="eastAsia"/>
          <w:color w:val="auto"/>
        </w:rPr>
        <w:t>Stable lung treatment, including low-flow oxygen inhalation therapy, that is, anti-inflammatory, anti-asthmatic, phlegm, relieving cough, symptomatic and supportive treatment. Correct life-threatening hypoxemia, make blood oxygen saturation &gt;90%, and require oxygen therapy, including long-term oxygen therapy. Take a simple ventilator to assist oxygen therapy during night sleep. Use respiratory stimulants to make the pH value&gt;7.2; give anti-inflammatory, anti-asthmatic, anti-cough, phlegm and treatment of the primary disease. Prevent and treat complications, such as anti-heart failure, improving respiratory failure, etc.</w:t>
      </w:r>
    </w:p>
    <w:p>
      <w:pPr>
        <w:rPr>
          <w:rFonts w:hint="eastAsia"/>
          <w:color w:val="auto"/>
        </w:rPr>
      </w:pPr>
      <w:r>
        <w:rPr>
          <w:rFonts w:hint="eastAsia"/>
          <w:color w:val="auto"/>
          <w:lang w:val="en-US" w:eastAsia="zh-CN"/>
        </w:rPr>
        <w:t xml:space="preserve">1.2.2 </w:t>
      </w:r>
      <w:r>
        <w:rPr>
          <w:rFonts w:hint="eastAsia"/>
          <w:color w:val="auto"/>
        </w:rPr>
        <w:t>Intervention group</w:t>
      </w:r>
    </w:p>
    <w:p>
      <w:pPr>
        <w:ind w:firstLine="420" w:firstLineChars="200"/>
        <w:rPr>
          <w:rFonts w:hint="eastAsia"/>
          <w:color w:val="auto"/>
        </w:rPr>
      </w:pPr>
      <w:r>
        <w:rPr>
          <w:rFonts w:hint="eastAsia"/>
          <w:color w:val="auto"/>
        </w:rPr>
        <w:t xml:space="preserve"> On the basis of the control group, high-quality nursing combined with respiratory function exercise treatment and nursing; ① Instruct patients to participate in exercises appropriately daily to enhance body resistance, pay attention to weather changes, add clothing appropriately, and beware of colds. Once the condition worsens, seek medical treatment in time. Take a walk, jogging, Taijiquan, Qigong and other exercises in a planned way every day. It is advisable not to feel fatigued. It can be regarded as proper COPD breathing exercises, which can avoid breathing difficulties caused by overwork and relieve them of strengthening breathing exercises. ②Inhale through your nose and exhale through your mouth. When you exhale, your lips will shrink and look like a fish mouth. Hold your abdomen with your hand to exhale. Use a deep and slow breathing rate of eight to ten times per minute, daily Do several exercises for 10-20 minutes each time. ③When singing or recitation loudly, it expands and contracts the chest muscles and abdominal muscles rhythmically, enlarges the range of movement of the diaphragm, increases lung capacity, and enhances lung function; the lip-shrinking breathing method helps to improve the patient's lung function. The specific method is to inhale slowly and deeply through the nose until you can no longer inhale; shrink the lip, like a whistle; keep the lip shrinking posture and exhale slowly; abdominal breathing like diaphragm breathing, take a standing position (the weak can take a semi-recumbent/sitting position) , Half-bend both knees or a small pillow under the knees to relax the abdominal muscles. Place the left and right hands on the abdomen and chest respectively. Relax your muscles and breathe at rest. Relax the whole body, first exhale and then inhale, inhale the drum and deflate, pass through the mouth during exhalation, pass through the nose during inhalation, exhale deeply, and do not use force. According to the patient’s cardiac function, walk slowly (60-80 steps/min, medium-speed 80-100 steps/min, fast 100-120 steps/min. The walking link can be combined with upper limb chest expansion assisting movements to Increase the effect. Use ventilators and oxygen generators to help patients with COPD live better. High-quality care, such as opening windows for ventilation. ④ High-quality care: regular indoor air disinfection, such as vinegar, to avoid the stimulation of smoke and dust, smokers You should quit smoking. In the cold season or when the climate changes suddenly, keep warm to prevent colds and prevent respiratory infections; pay attention to clean oral skin and wash frequently. When there is a mild oral infection, use normal saline and rinse your mouth before going to bed; excessive sputum Those who cough up sputum as much as possible, especially those who cough early in the morning and have thick sputum, appropriately take expectorants or atomized to dilute the sputum. Elderly or infirm persons should pat their backs and plan daily exercises, such as walking, jogging, and beating. Tai Chi, Qigong, etc., to avoid breathing difficulties caused by overwork; Regarding diet, usually pay attention to dietary norms and strengthen nutrition. Mainly use easy-to-digest foods, and eat moderate amounts of high-calorie, high-protein, and rich in various vitamins. Food, it is best to eat small meals, avoid spicy, irritating foods and drink plenty of water.</w:t>
      </w:r>
    </w:p>
    <w:p>
      <w:pPr>
        <w:rPr>
          <w:rFonts w:hint="eastAsia"/>
          <w:color w:val="auto"/>
        </w:rPr>
      </w:pPr>
      <w:r>
        <w:rPr>
          <w:rFonts w:hint="eastAsia"/>
          <w:color w:val="auto"/>
        </w:rPr>
        <w:t>1.3 Statistical analysis</w:t>
      </w:r>
    </w:p>
    <w:p>
      <w:pPr>
        <w:ind w:firstLine="420" w:firstLineChars="200"/>
        <w:rPr>
          <w:rFonts w:hint="eastAsia"/>
          <w:color w:val="auto"/>
        </w:rPr>
      </w:pPr>
      <w:r>
        <w:rPr>
          <w:rFonts w:hint="eastAsia"/>
          <w:color w:val="auto"/>
        </w:rPr>
        <w:t>SPSS 23.0 (Statistical Software Package for Social Sciences) was used to record and analyze this study. Enumeration data and measurement data were expressed in% and (x±s), respectively. X2 and t test were used. P&lt;0.05 was considered statistically significant.</w:t>
      </w:r>
    </w:p>
    <w:p>
      <w:pPr>
        <w:rPr>
          <w:rFonts w:hint="default" w:asciiTheme="minorAscii" w:hAnsiTheme="minorAscii"/>
          <w:b w:val="0"/>
          <w:bCs w:val="0"/>
          <w:color w:val="auto"/>
          <w:sz w:val="21"/>
          <w:szCs w:val="21"/>
        </w:rPr>
      </w:pPr>
      <w:r>
        <w:rPr>
          <w:rFonts w:hint="default" w:asciiTheme="minorAscii" w:hAnsiTheme="minorAscii"/>
          <w:b w:val="0"/>
          <w:bCs w:val="0"/>
          <w:color w:val="auto"/>
          <w:sz w:val="21"/>
          <w:szCs w:val="21"/>
        </w:rPr>
        <w:t>2. Results</w:t>
      </w:r>
    </w:p>
    <w:p>
      <w:pPr>
        <w:rPr>
          <w:rFonts w:hint="default" w:asciiTheme="minorAscii" w:hAnsiTheme="minorAscii"/>
          <w:b w:val="0"/>
          <w:bCs w:val="0"/>
          <w:color w:val="auto"/>
          <w:sz w:val="21"/>
          <w:szCs w:val="21"/>
        </w:rPr>
      </w:pPr>
      <w:r>
        <w:rPr>
          <w:rFonts w:hint="default" w:asciiTheme="minorAscii" w:hAnsiTheme="minorAscii"/>
          <w:b w:val="0"/>
          <w:bCs w:val="0"/>
          <w:color w:val="auto"/>
          <w:sz w:val="21"/>
          <w:szCs w:val="21"/>
        </w:rPr>
        <w:t>2.1 The controllable rate of diseases in the two groups</w:t>
      </w:r>
    </w:p>
    <w:p>
      <w:pPr>
        <w:ind w:firstLine="420"/>
        <w:rPr>
          <w:rFonts w:hint="default" w:asciiTheme="minorAscii" w:hAnsiTheme="minorAscii"/>
          <w:b w:val="0"/>
          <w:bCs w:val="0"/>
          <w:color w:val="auto"/>
          <w:sz w:val="21"/>
          <w:szCs w:val="21"/>
        </w:rPr>
      </w:pPr>
      <w:r>
        <w:rPr>
          <w:rFonts w:hint="default" w:asciiTheme="minorAscii" w:hAnsiTheme="minorAscii"/>
          <w:b w:val="0"/>
          <w:bCs w:val="0"/>
          <w:color w:val="auto"/>
          <w:sz w:val="21"/>
          <w:szCs w:val="21"/>
        </w:rPr>
        <w:t>The controllable rate of disease between the intervention group and the control group was 93.33% (28/30) and 66.67% (20/30) respectively, which was statistically significant (P&lt;0.05). As shown in Table 1:</w:t>
      </w:r>
    </w:p>
    <w:p>
      <w:pPr>
        <w:ind w:firstLine="420"/>
        <w:rPr>
          <w:rFonts w:hint="default" w:asciiTheme="minorAscii" w:hAnsiTheme="minorAscii"/>
          <w:b w:val="0"/>
          <w:bCs w:val="0"/>
          <w:color w:val="auto"/>
          <w:sz w:val="21"/>
          <w:szCs w:val="21"/>
        </w:rPr>
      </w:pPr>
      <w:r>
        <w:rPr>
          <w:rFonts w:hint="default" w:asciiTheme="minorAscii" w:hAnsiTheme="minorAscii"/>
          <w:b w:val="0"/>
          <w:bCs w:val="0"/>
          <w:color w:val="auto"/>
          <w:sz w:val="21"/>
          <w:szCs w:val="21"/>
        </w:rPr>
        <w:t>Table 1 Comparison of disease controllable rate between the two groups of patients (%)</w:t>
      </w:r>
    </w:p>
    <w:tbl>
      <w:tblPr>
        <w:tblStyle w:val="2"/>
        <w:tblW w:w="0" w:type="auto"/>
        <w:tblInd w:w="0" w:type="dxa"/>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2"/>
        <w:gridCol w:w="1106"/>
        <w:gridCol w:w="1540"/>
        <w:gridCol w:w="1541"/>
        <w:gridCol w:w="1422"/>
        <w:gridCol w:w="1381"/>
      </w:tblGrid>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532" w:type="dxa"/>
            <w:tcBorders>
              <w:bottom w:val="single" w:color="008000" w:sz="6" w:space="0"/>
            </w:tcBorders>
            <w:noWrap w:val="0"/>
            <w:vAlign w:val="top"/>
          </w:tcPr>
          <w:p>
            <w:pPr>
              <w:jc w:val="center"/>
              <w:rPr>
                <w:rFonts w:hint="default" w:asciiTheme="minorAscii" w:hAnsiTheme="minorAscii"/>
                <w:b w:val="0"/>
                <w:bCs w:val="0"/>
                <w:color w:val="auto"/>
                <w:sz w:val="21"/>
                <w:szCs w:val="21"/>
                <w:highlight w:val="none"/>
              </w:rPr>
            </w:pPr>
            <w:r>
              <w:rPr>
                <w:rFonts w:hint="default" w:asciiTheme="minorAscii" w:hAnsiTheme="minorAscii"/>
                <w:b w:val="0"/>
                <w:bCs w:val="0"/>
                <w:color w:val="auto"/>
                <w:sz w:val="21"/>
                <w:szCs w:val="21"/>
                <w:highlight w:val="none"/>
              </w:rPr>
              <w:t>group</w:t>
            </w:r>
          </w:p>
        </w:tc>
        <w:tc>
          <w:tcPr>
            <w:tcW w:w="1106" w:type="dxa"/>
            <w:tcBorders>
              <w:bottom w:val="single" w:color="008000" w:sz="6" w:space="0"/>
            </w:tcBorders>
            <w:noWrap w:val="0"/>
            <w:vAlign w:val="top"/>
          </w:tcPr>
          <w:p>
            <w:pPr>
              <w:jc w:val="center"/>
              <w:rPr>
                <w:rFonts w:hint="default" w:asciiTheme="minorAscii" w:hAnsiTheme="minorAscii"/>
                <w:b w:val="0"/>
                <w:bCs w:val="0"/>
                <w:color w:val="auto"/>
                <w:sz w:val="21"/>
                <w:szCs w:val="21"/>
                <w:highlight w:val="none"/>
              </w:rPr>
            </w:pPr>
            <w:r>
              <w:rPr>
                <w:rFonts w:hint="default" w:asciiTheme="minorAscii" w:hAnsiTheme="minorAscii"/>
                <w:b w:val="0"/>
                <w:bCs w:val="0"/>
                <w:color w:val="auto"/>
                <w:sz w:val="21"/>
                <w:szCs w:val="21"/>
                <w:highlight w:val="none"/>
              </w:rPr>
              <w:t>Number of cases</w:t>
            </w:r>
          </w:p>
        </w:tc>
        <w:tc>
          <w:tcPr>
            <w:tcW w:w="1540" w:type="dxa"/>
            <w:tcBorders>
              <w:bottom w:val="single" w:color="008000" w:sz="6" w:space="0"/>
            </w:tcBorders>
            <w:noWrap w:val="0"/>
            <w:vAlign w:val="top"/>
          </w:tcPr>
          <w:p>
            <w:pPr>
              <w:jc w:val="center"/>
              <w:rPr>
                <w:rFonts w:hint="default" w:eastAsia="宋体" w:asciiTheme="minorAscii" w:hAnsiTheme="minorAscii"/>
                <w:b w:val="0"/>
                <w:bCs w:val="0"/>
                <w:color w:val="auto"/>
                <w:sz w:val="21"/>
                <w:szCs w:val="21"/>
                <w:highlight w:val="none"/>
                <w:lang w:eastAsia="zh-CN"/>
              </w:rPr>
            </w:pPr>
            <w:r>
              <w:rPr>
                <w:rFonts w:hint="default" w:eastAsia="宋体" w:asciiTheme="minorAscii" w:hAnsiTheme="minorAscii"/>
                <w:b w:val="0"/>
                <w:bCs w:val="0"/>
                <w:color w:val="auto"/>
                <w:sz w:val="21"/>
                <w:szCs w:val="21"/>
                <w:highlight w:val="none"/>
                <w:lang w:eastAsia="zh-CN"/>
              </w:rPr>
              <w:t>Take effect</w:t>
            </w:r>
          </w:p>
        </w:tc>
        <w:tc>
          <w:tcPr>
            <w:tcW w:w="1541" w:type="dxa"/>
            <w:tcBorders>
              <w:bottom w:val="single" w:color="008000" w:sz="6" w:space="0"/>
            </w:tcBorders>
            <w:noWrap w:val="0"/>
            <w:vAlign w:val="top"/>
          </w:tcPr>
          <w:p>
            <w:pPr>
              <w:jc w:val="both"/>
              <w:rPr>
                <w:rFonts w:hint="default" w:eastAsia="宋体" w:asciiTheme="minorAscii" w:hAnsiTheme="minorAscii"/>
                <w:b w:val="0"/>
                <w:bCs w:val="0"/>
                <w:color w:val="auto"/>
                <w:sz w:val="21"/>
                <w:szCs w:val="21"/>
                <w:highlight w:val="none"/>
                <w:lang w:eastAsia="zh-CN"/>
              </w:rPr>
            </w:pPr>
            <w:r>
              <w:rPr>
                <w:rFonts w:hint="default" w:eastAsia="宋体" w:asciiTheme="minorAscii" w:hAnsiTheme="minorAscii"/>
                <w:b w:val="0"/>
                <w:bCs w:val="0"/>
                <w:color w:val="auto"/>
                <w:sz w:val="21"/>
                <w:szCs w:val="21"/>
                <w:highlight w:val="none"/>
                <w:lang w:eastAsia="zh-CN"/>
              </w:rPr>
              <w:t>Markedly effective</w:t>
            </w:r>
          </w:p>
          <w:p>
            <w:pPr>
              <w:jc w:val="center"/>
              <w:rPr>
                <w:rFonts w:hint="default" w:eastAsia="宋体" w:asciiTheme="minorAscii" w:hAnsiTheme="minorAscii"/>
                <w:b w:val="0"/>
                <w:bCs w:val="0"/>
                <w:color w:val="auto"/>
                <w:sz w:val="21"/>
                <w:szCs w:val="21"/>
                <w:highlight w:val="none"/>
                <w:lang w:eastAsia="zh-CN"/>
              </w:rPr>
            </w:pPr>
          </w:p>
        </w:tc>
        <w:tc>
          <w:tcPr>
            <w:tcW w:w="1422" w:type="dxa"/>
            <w:tcBorders>
              <w:bottom w:val="single" w:color="008000" w:sz="6" w:space="0"/>
            </w:tcBorders>
            <w:noWrap w:val="0"/>
            <w:vAlign w:val="top"/>
          </w:tcPr>
          <w:p>
            <w:pPr>
              <w:jc w:val="center"/>
              <w:rPr>
                <w:rFonts w:hint="default" w:asciiTheme="minorAscii" w:hAnsiTheme="minorAscii"/>
                <w:b w:val="0"/>
                <w:bCs w:val="0"/>
                <w:color w:val="auto"/>
                <w:sz w:val="21"/>
                <w:szCs w:val="21"/>
                <w:highlight w:val="none"/>
                <w:lang w:eastAsia="zh-CN"/>
              </w:rPr>
            </w:pPr>
            <w:r>
              <w:rPr>
                <w:rFonts w:hint="default" w:asciiTheme="minorAscii" w:hAnsiTheme="minorAscii"/>
                <w:b w:val="0"/>
                <w:bCs w:val="0"/>
                <w:color w:val="auto"/>
                <w:sz w:val="21"/>
                <w:szCs w:val="21"/>
                <w:highlight w:val="none"/>
                <w:lang w:eastAsia="zh-CN"/>
              </w:rPr>
              <w:t>Bad</w:t>
            </w:r>
          </w:p>
          <w:p>
            <w:pPr>
              <w:jc w:val="center"/>
              <w:rPr>
                <w:rFonts w:hint="default" w:eastAsia="宋体" w:asciiTheme="minorAscii" w:hAnsiTheme="minorAscii"/>
                <w:b w:val="0"/>
                <w:bCs w:val="0"/>
                <w:color w:val="auto"/>
                <w:sz w:val="21"/>
                <w:szCs w:val="21"/>
                <w:highlight w:val="none"/>
                <w:lang w:eastAsia="zh-CN"/>
              </w:rPr>
            </w:pPr>
            <w:r>
              <w:rPr>
                <w:rFonts w:hint="default" w:asciiTheme="minorAscii" w:hAnsiTheme="minorAscii"/>
                <w:b w:val="0"/>
                <w:bCs w:val="0"/>
                <w:color w:val="auto"/>
                <w:sz w:val="21"/>
                <w:szCs w:val="21"/>
                <w:highlight w:val="none"/>
                <w:lang w:eastAsia="zh-CN"/>
              </w:rPr>
              <w:t>Disease</w:t>
            </w:r>
          </w:p>
        </w:tc>
        <w:tc>
          <w:tcPr>
            <w:tcW w:w="1381" w:type="dxa"/>
            <w:tcBorders>
              <w:bottom w:val="single" w:color="008000" w:sz="6" w:space="0"/>
            </w:tcBorders>
            <w:noWrap w:val="0"/>
            <w:vAlign w:val="top"/>
          </w:tcPr>
          <w:p>
            <w:pPr>
              <w:jc w:val="center"/>
              <w:rPr>
                <w:rFonts w:hint="default" w:asciiTheme="minorAscii" w:hAnsiTheme="minorAscii" w:eastAsiaTheme="minorEastAsia"/>
                <w:b w:val="0"/>
                <w:bCs w:val="0"/>
                <w:color w:val="auto"/>
                <w:sz w:val="21"/>
                <w:szCs w:val="21"/>
                <w:highlight w:val="none"/>
                <w:lang w:eastAsia="zh-CN"/>
              </w:rPr>
            </w:pPr>
            <w:r>
              <w:rPr>
                <w:rFonts w:hint="default" w:asciiTheme="minorAscii" w:hAnsiTheme="minorAscii"/>
                <w:b w:val="0"/>
                <w:bCs w:val="0"/>
                <w:color w:val="auto"/>
                <w:sz w:val="21"/>
                <w:szCs w:val="21"/>
                <w:highlight w:val="none"/>
                <w:lang w:eastAsia="zh-CN"/>
              </w:rPr>
              <w:t>controllable rate</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532" w:type="dxa"/>
            <w:tcBorders>
              <w:top w:val="single" w:color="008000" w:sz="6" w:space="0"/>
            </w:tcBorders>
            <w:noWrap w:val="0"/>
            <w:vAlign w:val="top"/>
          </w:tcPr>
          <w:p>
            <w:pPr>
              <w:jc w:val="center"/>
              <w:rPr>
                <w:rFonts w:hint="default" w:asciiTheme="minorAscii" w:hAnsiTheme="minorAscii"/>
                <w:b w:val="0"/>
                <w:bCs w:val="0"/>
                <w:color w:val="auto"/>
                <w:sz w:val="21"/>
                <w:szCs w:val="21"/>
                <w:highlight w:val="none"/>
              </w:rPr>
            </w:pPr>
            <w:r>
              <w:rPr>
                <w:rFonts w:hint="default" w:asciiTheme="minorAscii" w:hAnsiTheme="minorAscii"/>
                <w:b w:val="0"/>
                <w:bCs w:val="0"/>
                <w:color w:val="auto"/>
                <w:sz w:val="21"/>
                <w:szCs w:val="21"/>
                <w:highlight w:val="none"/>
              </w:rPr>
              <w:t>Control</w:t>
            </w:r>
            <w:r>
              <w:rPr>
                <w:rFonts w:hint="default" w:asciiTheme="minorAscii" w:hAnsiTheme="minorAscii"/>
                <w:b w:val="0"/>
                <w:bCs w:val="0"/>
                <w:color w:val="auto"/>
                <w:sz w:val="21"/>
                <w:szCs w:val="21"/>
                <w:highlight w:val="none"/>
                <w:lang w:val="en-US" w:eastAsia="zh-CN"/>
              </w:rPr>
              <w:t xml:space="preserve"> </w:t>
            </w:r>
            <w:r>
              <w:rPr>
                <w:rFonts w:hint="default" w:asciiTheme="minorAscii" w:hAnsiTheme="minorAscii"/>
                <w:b w:val="0"/>
                <w:bCs w:val="0"/>
                <w:color w:val="auto"/>
                <w:sz w:val="21"/>
                <w:szCs w:val="21"/>
                <w:highlight w:val="none"/>
              </w:rPr>
              <w:t>group</w:t>
            </w:r>
          </w:p>
          <w:p>
            <w:pPr>
              <w:jc w:val="center"/>
              <w:rPr>
                <w:rFonts w:hint="default" w:asciiTheme="minorAscii" w:hAnsiTheme="minorAscii"/>
                <w:b w:val="0"/>
                <w:bCs w:val="0"/>
                <w:color w:val="auto"/>
                <w:sz w:val="21"/>
                <w:szCs w:val="21"/>
                <w:highlight w:val="none"/>
              </w:rPr>
            </w:pPr>
            <w:r>
              <w:rPr>
                <w:rFonts w:hint="default" w:asciiTheme="minorAscii" w:hAnsiTheme="minorAscii"/>
                <w:b w:val="0"/>
                <w:bCs w:val="0"/>
                <w:color w:val="auto"/>
                <w:sz w:val="21"/>
                <w:szCs w:val="21"/>
                <w:highlight w:val="none"/>
              </w:rPr>
              <w:t>Intervention group</w:t>
            </w:r>
          </w:p>
          <w:p>
            <w:pPr>
              <w:jc w:val="center"/>
              <w:rPr>
                <w:rFonts w:hint="default" w:asciiTheme="minorAscii" w:hAnsiTheme="minorAscii"/>
                <w:b w:val="0"/>
                <w:bCs w:val="0"/>
                <w:color w:val="auto"/>
                <w:sz w:val="21"/>
                <w:szCs w:val="21"/>
                <w:highlight w:val="none"/>
              </w:rPr>
            </w:pPr>
            <w:r>
              <w:rPr>
                <w:rFonts w:hint="default" w:asciiTheme="minorAscii" w:hAnsiTheme="minorAscii"/>
                <w:b w:val="0"/>
                <w:bCs w:val="0"/>
                <w:color w:val="auto"/>
                <w:sz w:val="21"/>
                <w:szCs w:val="21"/>
                <w:highlight w:val="none"/>
              </w:rPr>
              <w:t>t</w:t>
            </w:r>
          </w:p>
          <w:p>
            <w:pPr>
              <w:jc w:val="center"/>
              <w:rPr>
                <w:rFonts w:hint="default" w:asciiTheme="minorAscii" w:hAnsiTheme="minorAscii"/>
                <w:b w:val="0"/>
                <w:bCs w:val="0"/>
                <w:color w:val="auto"/>
                <w:sz w:val="21"/>
                <w:szCs w:val="21"/>
                <w:highlight w:val="none"/>
              </w:rPr>
            </w:pPr>
            <w:r>
              <w:rPr>
                <w:rFonts w:hint="default" w:asciiTheme="minorAscii" w:hAnsiTheme="minorAscii"/>
                <w:b w:val="0"/>
                <w:bCs w:val="0"/>
                <w:color w:val="auto"/>
                <w:sz w:val="21"/>
                <w:szCs w:val="21"/>
                <w:highlight w:val="none"/>
              </w:rPr>
              <w:t>P</w:t>
            </w:r>
          </w:p>
        </w:tc>
        <w:tc>
          <w:tcPr>
            <w:tcW w:w="1106" w:type="dxa"/>
            <w:tcBorders>
              <w:top w:val="single" w:color="008000" w:sz="6" w:space="0"/>
            </w:tcBorders>
            <w:noWrap w:val="0"/>
            <w:vAlign w:val="top"/>
          </w:tcPr>
          <w:p>
            <w:pPr>
              <w:jc w:val="center"/>
              <w:rPr>
                <w:rFonts w:hint="default" w:asciiTheme="minorAscii" w:hAnsiTheme="minorAscii"/>
                <w:b w:val="0"/>
                <w:bCs w:val="0"/>
                <w:color w:val="auto"/>
                <w:sz w:val="21"/>
                <w:szCs w:val="21"/>
                <w:highlight w:val="none"/>
                <w:lang w:val="en-US" w:eastAsia="zh-CN"/>
              </w:rPr>
            </w:pPr>
            <w:r>
              <w:rPr>
                <w:rFonts w:hint="default" w:asciiTheme="minorAscii" w:hAnsiTheme="minorAscii"/>
                <w:b w:val="0"/>
                <w:bCs w:val="0"/>
                <w:color w:val="auto"/>
                <w:sz w:val="21"/>
                <w:szCs w:val="21"/>
                <w:highlight w:val="none"/>
                <w:lang w:val="en-US" w:eastAsia="zh-CN"/>
              </w:rPr>
              <w:t>30</w:t>
            </w:r>
          </w:p>
          <w:p>
            <w:pPr>
              <w:jc w:val="center"/>
              <w:rPr>
                <w:rFonts w:hint="default" w:asciiTheme="minorAscii" w:hAnsiTheme="minorAscii"/>
                <w:b w:val="0"/>
                <w:bCs w:val="0"/>
                <w:color w:val="auto"/>
                <w:sz w:val="21"/>
                <w:szCs w:val="21"/>
                <w:highlight w:val="none"/>
                <w:lang w:val="en-US" w:eastAsia="zh-CN"/>
              </w:rPr>
            </w:pPr>
            <w:r>
              <w:rPr>
                <w:rFonts w:hint="default" w:asciiTheme="minorAscii" w:hAnsiTheme="minorAscii"/>
                <w:b w:val="0"/>
                <w:bCs w:val="0"/>
                <w:color w:val="auto"/>
                <w:sz w:val="21"/>
                <w:szCs w:val="21"/>
                <w:highlight w:val="none"/>
                <w:lang w:val="en-US" w:eastAsia="zh-CN"/>
              </w:rPr>
              <w:t>30</w:t>
            </w:r>
          </w:p>
          <w:p>
            <w:pPr>
              <w:jc w:val="center"/>
              <w:rPr>
                <w:rFonts w:hint="default" w:asciiTheme="minorAscii" w:hAnsiTheme="minorAscii"/>
                <w:b w:val="0"/>
                <w:bCs w:val="0"/>
                <w:color w:val="auto"/>
                <w:sz w:val="21"/>
                <w:szCs w:val="21"/>
                <w:highlight w:val="none"/>
              </w:rPr>
            </w:pPr>
            <w:r>
              <w:rPr>
                <w:rFonts w:hint="default" w:asciiTheme="minorAscii" w:hAnsiTheme="minorAscii"/>
                <w:b w:val="0"/>
                <w:bCs w:val="0"/>
                <w:color w:val="auto"/>
                <w:sz w:val="21"/>
                <w:szCs w:val="21"/>
                <w:highlight w:val="none"/>
              </w:rPr>
              <w:t>/</w:t>
            </w:r>
          </w:p>
          <w:p>
            <w:pPr>
              <w:jc w:val="center"/>
              <w:rPr>
                <w:rFonts w:hint="default" w:asciiTheme="minorAscii" w:hAnsiTheme="minorAscii"/>
                <w:b w:val="0"/>
                <w:bCs w:val="0"/>
                <w:color w:val="auto"/>
                <w:sz w:val="21"/>
                <w:szCs w:val="21"/>
                <w:highlight w:val="none"/>
              </w:rPr>
            </w:pPr>
            <w:r>
              <w:rPr>
                <w:rFonts w:hint="default" w:asciiTheme="minorAscii" w:hAnsiTheme="minorAscii"/>
                <w:b w:val="0"/>
                <w:bCs w:val="0"/>
                <w:color w:val="auto"/>
                <w:sz w:val="21"/>
                <w:szCs w:val="21"/>
                <w:highlight w:val="none"/>
              </w:rPr>
              <w:t>/</w:t>
            </w:r>
          </w:p>
        </w:tc>
        <w:tc>
          <w:tcPr>
            <w:tcW w:w="1540" w:type="dxa"/>
            <w:tcBorders>
              <w:top w:val="single" w:color="008000" w:sz="6" w:space="0"/>
            </w:tcBorders>
            <w:noWrap w:val="0"/>
            <w:vAlign w:val="top"/>
          </w:tcPr>
          <w:p>
            <w:pPr>
              <w:jc w:val="center"/>
              <w:rPr>
                <w:rFonts w:hint="default" w:asciiTheme="minorAscii" w:hAnsiTheme="minorAscii"/>
                <w:b w:val="0"/>
                <w:bCs w:val="0"/>
                <w:color w:val="auto"/>
                <w:sz w:val="21"/>
                <w:szCs w:val="21"/>
                <w:highlight w:val="none"/>
              </w:rPr>
            </w:pPr>
            <w:r>
              <w:rPr>
                <w:rFonts w:hint="default" w:asciiTheme="minorAscii" w:hAnsiTheme="minorAscii"/>
                <w:b w:val="0"/>
                <w:bCs w:val="0"/>
                <w:color w:val="auto"/>
                <w:sz w:val="21"/>
                <w:szCs w:val="21"/>
                <w:highlight w:val="none"/>
                <w:lang w:val="en-US" w:eastAsia="zh-CN"/>
              </w:rPr>
              <w:t>9</w:t>
            </w:r>
            <w:r>
              <w:rPr>
                <w:rFonts w:hint="default" w:asciiTheme="minorAscii" w:hAnsiTheme="minorAscii"/>
                <w:b w:val="0"/>
                <w:bCs w:val="0"/>
                <w:color w:val="auto"/>
                <w:sz w:val="21"/>
                <w:szCs w:val="21"/>
                <w:highlight w:val="none"/>
              </w:rPr>
              <w:t>（</w:t>
            </w:r>
            <w:r>
              <w:rPr>
                <w:rFonts w:hint="default" w:asciiTheme="minorAscii" w:hAnsiTheme="minorAscii"/>
                <w:b w:val="0"/>
                <w:bCs w:val="0"/>
                <w:color w:val="auto"/>
                <w:sz w:val="21"/>
                <w:szCs w:val="21"/>
                <w:highlight w:val="none"/>
                <w:lang w:val="en-US" w:eastAsia="zh-CN"/>
              </w:rPr>
              <w:t>30.00</w:t>
            </w:r>
            <w:r>
              <w:rPr>
                <w:rFonts w:hint="default" w:asciiTheme="minorAscii" w:hAnsiTheme="minorAscii"/>
                <w:b w:val="0"/>
                <w:bCs w:val="0"/>
                <w:color w:val="auto"/>
                <w:sz w:val="21"/>
                <w:szCs w:val="21"/>
                <w:highlight w:val="none"/>
              </w:rPr>
              <w:t>）</w:t>
            </w:r>
          </w:p>
          <w:p>
            <w:pPr>
              <w:jc w:val="center"/>
              <w:rPr>
                <w:rFonts w:hint="default" w:asciiTheme="minorAscii" w:hAnsiTheme="minorAscii"/>
                <w:b w:val="0"/>
                <w:bCs w:val="0"/>
                <w:color w:val="auto"/>
                <w:sz w:val="21"/>
                <w:szCs w:val="21"/>
                <w:highlight w:val="none"/>
              </w:rPr>
            </w:pPr>
            <w:r>
              <w:rPr>
                <w:rFonts w:hint="default" w:asciiTheme="minorAscii" w:hAnsiTheme="minorAscii"/>
                <w:b w:val="0"/>
                <w:bCs w:val="0"/>
                <w:color w:val="auto"/>
                <w:sz w:val="21"/>
                <w:szCs w:val="21"/>
                <w:highlight w:val="none"/>
                <w:lang w:val="en-US" w:eastAsia="zh-CN"/>
              </w:rPr>
              <w:t>13</w:t>
            </w:r>
            <w:r>
              <w:rPr>
                <w:rFonts w:hint="default" w:asciiTheme="minorAscii" w:hAnsiTheme="minorAscii"/>
                <w:b w:val="0"/>
                <w:bCs w:val="0"/>
                <w:color w:val="auto"/>
                <w:sz w:val="21"/>
                <w:szCs w:val="21"/>
                <w:highlight w:val="none"/>
              </w:rPr>
              <w:t>（</w:t>
            </w:r>
            <w:r>
              <w:rPr>
                <w:rFonts w:hint="default" w:asciiTheme="minorAscii" w:hAnsiTheme="minorAscii"/>
                <w:b w:val="0"/>
                <w:bCs w:val="0"/>
                <w:color w:val="auto"/>
                <w:sz w:val="21"/>
                <w:szCs w:val="21"/>
                <w:highlight w:val="none"/>
                <w:lang w:val="en-US" w:eastAsia="zh-CN"/>
              </w:rPr>
              <w:t>43.33</w:t>
            </w:r>
            <w:r>
              <w:rPr>
                <w:rFonts w:hint="default" w:asciiTheme="minorAscii" w:hAnsiTheme="minorAscii"/>
                <w:b w:val="0"/>
                <w:bCs w:val="0"/>
                <w:color w:val="auto"/>
                <w:sz w:val="21"/>
                <w:szCs w:val="21"/>
                <w:highlight w:val="none"/>
              </w:rPr>
              <w:t>）</w:t>
            </w:r>
          </w:p>
          <w:p>
            <w:pPr>
              <w:jc w:val="center"/>
              <w:rPr>
                <w:rFonts w:hint="default" w:asciiTheme="minorAscii" w:hAnsiTheme="minorAscii"/>
                <w:b w:val="0"/>
                <w:bCs w:val="0"/>
                <w:color w:val="auto"/>
                <w:sz w:val="21"/>
                <w:szCs w:val="21"/>
                <w:highlight w:val="none"/>
              </w:rPr>
            </w:pPr>
            <w:r>
              <w:rPr>
                <w:rFonts w:hint="default" w:asciiTheme="minorAscii" w:hAnsiTheme="minorAscii"/>
                <w:b w:val="0"/>
                <w:bCs w:val="0"/>
                <w:color w:val="auto"/>
                <w:sz w:val="21"/>
                <w:szCs w:val="21"/>
                <w:highlight w:val="none"/>
              </w:rPr>
              <w:t>/</w:t>
            </w:r>
          </w:p>
          <w:p>
            <w:pPr>
              <w:jc w:val="center"/>
              <w:rPr>
                <w:rFonts w:hint="default" w:asciiTheme="minorAscii" w:hAnsiTheme="minorAscii" w:eastAsiaTheme="minorEastAsia"/>
                <w:b w:val="0"/>
                <w:bCs w:val="0"/>
                <w:color w:val="auto"/>
                <w:sz w:val="21"/>
                <w:szCs w:val="21"/>
                <w:highlight w:val="none"/>
                <w:lang w:val="en-US" w:eastAsia="zh-CN"/>
              </w:rPr>
            </w:pPr>
            <w:r>
              <w:rPr>
                <w:rFonts w:hint="default" w:asciiTheme="minorAscii" w:hAnsiTheme="minorAscii"/>
                <w:b w:val="0"/>
                <w:bCs w:val="0"/>
                <w:color w:val="auto"/>
                <w:sz w:val="21"/>
                <w:szCs w:val="21"/>
                <w:highlight w:val="none"/>
              </w:rPr>
              <w:t>/</w:t>
            </w:r>
          </w:p>
        </w:tc>
        <w:tc>
          <w:tcPr>
            <w:tcW w:w="1541" w:type="dxa"/>
            <w:tcBorders>
              <w:top w:val="single" w:color="008000" w:sz="6" w:space="0"/>
            </w:tcBorders>
            <w:noWrap w:val="0"/>
            <w:vAlign w:val="top"/>
          </w:tcPr>
          <w:p>
            <w:pPr>
              <w:jc w:val="center"/>
              <w:rPr>
                <w:rFonts w:hint="default" w:asciiTheme="minorAscii" w:hAnsiTheme="minorAscii"/>
                <w:b w:val="0"/>
                <w:bCs w:val="0"/>
                <w:color w:val="auto"/>
                <w:sz w:val="21"/>
                <w:szCs w:val="21"/>
                <w:highlight w:val="none"/>
              </w:rPr>
            </w:pPr>
            <w:r>
              <w:rPr>
                <w:rFonts w:hint="default" w:asciiTheme="minorAscii" w:hAnsiTheme="minorAscii"/>
                <w:b w:val="0"/>
                <w:bCs w:val="0"/>
                <w:color w:val="auto"/>
                <w:sz w:val="21"/>
                <w:szCs w:val="21"/>
                <w:highlight w:val="none"/>
                <w:lang w:val="en-US" w:eastAsia="zh-CN"/>
              </w:rPr>
              <w:t>9</w:t>
            </w:r>
            <w:r>
              <w:rPr>
                <w:rFonts w:hint="default" w:asciiTheme="minorAscii" w:hAnsiTheme="minorAscii"/>
                <w:b w:val="0"/>
                <w:bCs w:val="0"/>
                <w:color w:val="auto"/>
                <w:sz w:val="21"/>
                <w:szCs w:val="21"/>
                <w:highlight w:val="none"/>
              </w:rPr>
              <w:t>（</w:t>
            </w:r>
            <w:r>
              <w:rPr>
                <w:rFonts w:hint="default" w:asciiTheme="minorAscii" w:hAnsiTheme="minorAscii"/>
                <w:b w:val="0"/>
                <w:bCs w:val="0"/>
                <w:color w:val="auto"/>
                <w:sz w:val="21"/>
                <w:szCs w:val="21"/>
                <w:highlight w:val="none"/>
                <w:lang w:val="en-US" w:eastAsia="zh-CN"/>
              </w:rPr>
              <w:t>30.00</w:t>
            </w:r>
            <w:r>
              <w:rPr>
                <w:rFonts w:hint="default" w:asciiTheme="minorAscii" w:hAnsiTheme="minorAscii"/>
                <w:b w:val="0"/>
                <w:bCs w:val="0"/>
                <w:color w:val="auto"/>
                <w:sz w:val="21"/>
                <w:szCs w:val="21"/>
                <w:highlight w:val="none"/>
              </w:rPr>
              <w:t>）</w:t>
            </w:r>
          </w:p>
          <w:p>
            <w:pPr>
              <w:jc w:val="center"/>
              <w:rPr>
                <w:rFonts w:hint="default" w:asciiTheme="minorAscii" w:hAnsiTheme="minorAscii"/>
                <w:b w:val="0"/>
                <w:bCs w:val="0"/>
                <w:color w:val="auto"/>
                <w:sz w:val="21"/>
                <w:szCs w:val="21"/>
                <w:highlight w:val="none"/>
              </w:rPr>
            </w:pPr>
            <w:r>
              <w:rPr>
                <w:rFonts w:hint="default" w:asciiTheme="minorAscii" w:hAnsiTheme="minorAscii"/>
                <w:b w:val="0"/>
                <w:bCs w:val="0"/>
                <w:color w:val="auto"/>
                <w:sz w:val="21"/>
                <w:szCs w:val="21"/>
                <w:highlight w:val="none"/>
                <w:lang w:val="en-US" w:eastAsia="zh-CN"/>
              </w:rPr>
              <w:t>15</w:t>
            </w:r>
            <w:r>
              <w:rPr>
                <w:rFonts w:hint="default" w:asciiTheme="minorAscii" w:hAnsiTheme="minorAscii"/>
                <w:b w:val="0"/>
                <w:bCs w:val="0"/>
                <w:color w:val="auto"/>
                <w:sz w:val="21"/>
                <w:szCs w:val="21"/>
                <w:highlight w:val="none"/>
              </w:rPr>
              <w:t>（</w:t>
            </w:r>
            <w:r>
              <w:rPr>
                <w:rFonts w:hint="default" w:asciiTheme="minorAscii" w:hAnsiTheme="minorAscii"/>
                <w:b w:val="0"/>
                <w:bCs w:val="0"/>
                <w:color w:val="auto"/>
                <w:sz w:val="21"/>
                <w:szCs w:val="21"/>
                <w:highlight w:val="none"/>
                <w:lang w:val="en-US" w:eastAsia="zh-CN"/>
              </w:rPr>
              <w:t>50.00</w:t>
            </w:r>
            <w:r>
              <w:rPr>
                <w:rFonts w:hint="default" w:asciiTheme="minorAscii" w:hAnsiTheme="minorAscii"/>
                <w:b w:val="0"/>
                <w:bCs w:val="0"/>
                <w:color w:val="auto"/>
                <w:sz w:val="21"/>
                <w:szCs w:val="21"/>
                <w:highlight w:val="none"/>
              </w:rPr>
              <w:t>）</w:t>
            </w:r>
          </w:p>
          <w:p>
            <w:pPr>
              <w:jc w:val="center"/>
              <w:rPr>
                <w:rFonts w:hint="default" w:asciiTheme="minorAscii" w:hAnsiTheme="minorAscii"/>
                <w:b w:val="0"/>
                <w:bCs w:val="0"/>
                <w:color w:val="auto"/>
                <w:sz w:val="21"/>
                <w:szCs w:val="21"/>
                <w:highlight w:val="none"/>
              </w:rPr>
            </w:pPr>
            <w:r>
              <w:rPr>
                <w:rFonts w:hint="default" w:asciiTheme="minorAscii" w:hAnsiTheme="minorAscii"/>
                <w:b w:val="0"/>
                <w:bCs w:val="0"/>
                <w:color w:val="auto"/>
                <w:sz w:val="21"/>
                <w:szCs w:val="21"/>
                <w:highlight w:val="none"/>
              </w:rPr>
              <w:t>/</w:t>
            </w:r>
          </w:p>
          <w:p>
            <w:pPr>
              <w:jc w:val="center"/>
              <w:rPr>
                <w:rFonts w:hint="default" w:asciiTheme="minorAscii" w:hAnsiTheme="minorAscii"/>
                <w:b w:val="0"/>
                <w:bCs w:val="0"/>
                <w:color w:val="auto"/>
                <w:sz w:val="21"/>
                <w:szCs w:val="21"/>
                <w:highlight w:val="none"/>
                <w:lang w:val="en-US"/>
              </w:rPr>
            </w:pPr>
            <w:r>
              <w:rPr>
                <w:rFonts w:hint="default" w:asciiTheme="minorAscii" w:hAnsiTheme="minorAscii"/>
                <w:b w:val="0"/>
                <w:bCs w:val="0"/>
                <w:color w:val="auto"/>
                <w:sz w:val="21"/>
                <w:szCs w:val="21"/>
                <w:highlight w:val="none"/>
              </w:rPr>
              <w:t>/</w:t>
            </w:r>
          </w:p>
        </w:tc>
        <w:tc>
          <w:tcPr>
            <w:tcW w:w="1422" w:type="dxa"/>
            <w:tcBorders>
              <w:top w:val="single" w:color="008000" w:sz="6" w:space="0"/>
            </w:tcBorders>
            <w:noWrap w:val="0"/>
            <w:vAlign w:val="top"/>
          </w:tcPr>
          <w:p>
            <w:pPr>
              <w:jc w:val="center"/>
              <w:rPr>
                <w:rFonts w:hint="default" w:asciiTheme="minorAscii" w:hAnsiTheme="minorAscii"/>
                <w:b w:val="0"/>
                <w:bCs w:val="0"/>
                <w:color w:val="auto"/>
                <w:sz w:val="21"/>
                <w:szCs w:val="21"/>
                <w:highlight w:val="none"/>
              </w:rPr>
            </w:pPr>
            <w:r>
              <w:rPr>
                <w:rFonts w:hint="default" w:asciiTheme="minorAscii" w:hAnsiTheme="minorAscii"/>
                <w:b w:val="0"/>
                <w:bCs w:val="0"/>
                <w:color w:val="auto"/>
                <w:sz w:val="21"/>
                <w:szCs w:val="21"/>
                <w:highlight w:val="none"/>
                <w:lang w:val="en-US" w:eastAsia="zh-CN"/>
              </w:rPr>
              <w:t>12</w:t>
            </w:r>
            <w:r>
              <w:rPr>
                <w:rFonts w:hint="default" w:asciiTheme="minorAscii" w:hAnsiTheme="minorAscii"/>
                <w:b w:val="0"/>
                <w:bCs w:val="0"/>
                <w:color w:val="auto"/>
                <w:sz w:val="21"/>
                <w:szCs w:val="21"/>
                <w:highlight w:val="none"/>
              </w:rPr>
              <w:t>（</w:t>
            </w:r>
            <w:r>
              <w:rPr>
                <w:rFonts w:hint="default" w:asciiTheme="minorAscii" w:hAnsiTheme="minorAscii"/>
                <w:b w:val="0"/>
                <w:bCs w:val="0"/>
                <w:color w:val="auto"/>
                <w:sz w:val="21"/>
                <w:szCs w:val="21"/>
                <w:highlight w:val="none"/>
                <w:lang w:val="en-US" w:eastAsia="zh-CN"/>
              </w:rPr>
              <w:t>40.00</w:t>
            </w:r>
            <w:r>
              <w:rPr>
                <w:rFonts w:hint="default" w:asciiTheme="minorAscii" w:hAnsiTheme="minorAscii"/>
                <w:b w:val="0"/>
                <w:bCs w:val="0"/>
                <w:color w:val="auto"/>
                <w:sz w:val="21"/>
                <w:szCs w:val="21"/>
                <w:highlight w:val="none"/>
              </w:rPr>
              <w:t>）</w:t>
            </w:r>
          </w:p>
          <w:p>
            <w:pPr>
              <w:jc w:val="center"/>
              <w:rPr>
                <w:rFonts w:hint="default" w:asciiTheme="minorAscii" w:hAnsiTheme="minorAscii"/>
                <w:b w:val="0"/>
                <w:bCs w:val="0"/>
                <w:color w:val="auto"/>
                <w:sz w:val="21"/>
                <w:szCs w:val="21"/>
                <w:highlight w:val="none"/>
              </w:rPr>
            </w:pPr>
            <w:r>
              <w:rPr>
                <w:rFonts w:hint="default" w:asciiTheme="minorAscii" w:hAnsiTheme="minorAscii"/>
                <w:b w:val="0"/>
                <w:bCs w:val="0"/>
                <w:color w:val="auto"/>
                <w:sz w:val="21"/>
                <w:szCs w:val="21"/>
                <w:highlight w:val="none"/>
                <w:lang w:val="en-US" w:eastAsia="zh-CN"/>
              </w:rPr>
              <w:t>2</w:t>
            </w:r>
            <w:r>
              <w:rPr>
                <w:rFonts w:hint="default" w:asciiTheme="minorAscii" w:hAnsiTheme="minorAscii"/>
                <w:b w:val="0"/>
                <w:bCs w:val="0"/>
                <w:color w:val="auto"/>
                <w:sz w:val="21"/>
                <w:szCs w:val="21"/>
                <w:highlight w:val="none"/>
              </w:rPr>
              <w:t>（</w:t>
            </w:r>
            <w:r>
              <w:rPr>
                <w:rFonts w:hint="default" w:asciiTheme="minorAscii" w:hAnsiTheme="minorAscii"/>
                <w:b w:val="0"/>
                <w:bCs w:val="0"/>
                <w:color w:val="auto"/>
                <w:sz w:val="21"/>
                <w:szCs w:val="21"/>
                <w:highlight w:val="none"/>
                <w:lang w:val="en-US" w:eastAsia="zh-CN"/>
              </w:rPr>
              <w:t>6.67</w:t>
            </w:r>
            <w:r>
              <w:rPr>
                <w:rFonts w:hint="default" w:asciiTheme="minorAscii" w:hAnsiTheme="minorAscii"/>
                <w:b w:val="0"/>
                <w:bCs w:val="0"/>
                <w:color w:val="auto"/>
                <w:sz w:val="21"/>
                <w:szCs w:val="21"/>
                <w:highlight w:val="none"/>
              </w:rPr>
              <w:t>）</w:t>
            </w:r>
          </w:p>
          <w:p>
            <w:pPr>
              <w:jc w:val="center"/>
              <w:rPr>
                <w:rFonts w:hint="default" w:asciiTheme="minorAscii" w:hAnsiTheme="minorAscii"/>
                <w:b w:val="0"/>
                <w:bCs w:val="0"/>
                <w:color w:val="auto"/>
                <w:sz w:val="21"/>
                <w:szCs w:val="21"/>
                <w:highlight w:val="none"/>
              </w:rPr>
            </w:pPr>
            <w:r>
              <w:rPr>
                <w:rFonts w:hint="default" w:asciiTheme="minorAscii" w:hAnsiTheme="minorAscii"/>
                <w:b w:val="0"/>
                <w:bCs w:val="0"/>
                <w:color w:val="auto"/>
                <w:sz w:val="21"/>
                <w:szCs w:val="21"/>
                <w:highlight w:val="none"/>
              </w:rPr>
              <w:t>/</w:t>
            </w:r>
          </w:p>
          <w:p>
            <w:pPr>
              <w:jc w:val="center"/>
              <w:rPr>
                <w:rFonts w:hint="default" w:asciiTheme="minorAscii" w:hAnsiTheme="minorAscii" w:eastAsiaTheme="minorEastAsia"/>
                <w:b w:val="0"/>
                <w:bCs w:val="0"/>
                <w:color w:val="auto"/>
                <w:sz w:val="21"/>
                <w:szCs w:val="21"/>
                <w:highlight w:val="none"/>
                <w:lang w:val="en-US" w:eastAsia="zh-CN"/>
              </w:rPr>
            </w:pPr>
            <w:r>
              <w:rPr>
                <w:rFonts w:hint="default" w:asciiTheme="minorAscii" w:hAnsiTheme="minorAscii"/>
                <w:b w:val="0"/>
                <w:bCs w:val="0"/>
                <w:color w:val="auto"/>
                <w:sz w:val="21"/>
                <w:szCs w:val="21"/>
                <w:highlight w:val="none"/>
              </w:rPr>
              <w:t>/</w:t>
            </w:r>
          </w:p>
        </w:tc>
        <w:tc>
          <w:tcPr>
            <w:tcW w:w="1381" w:type="dxa"/>
            <w:tcBorders>
              <w:top w:val="single" w:color="008000" w:sz="6" w:space="0"/>
            </w:tcBorders>
            <w:noWrap w:val="0"/>
            <w:vAlign w:val="top"/>
          </w:tcPr>
          <w:p>
            <w:pPr>
              <w:jc w:val="center"/>
              <w:rPr>
                <w:rFonts w:hint="default" w:asciiTheme="minorAscii" w:hAnsiTheme="minorAscii"/>
                <w:b w:val="0"/>
                <w:bCs w:val="0"/>
                <w:color w:val="auto"/>
                <w:sz w:val="21"/>
                <w:szCs w:val="21"/>
                <w:highlight w:val="none"/>
              </w:rPr>
            </w:pPr>
            <w:r>
              <w:rPr>
                <w:rFonts w:hint="default" w:asciiTheme="minorAscii" w:hAnsiTheme="minorAscii"/>
                <w:b w:val="0"/>
                <w:bCs w:val="0"/>
                <w:color w:val="auto"/>
                <w:sz w:val="21"/>
                <w:szCs w:val="21"/>
                <w:highlight w:val="none"/>
                <w:lang w:val="en-US" w:eastAsia="zh-CN"/>
              </w:rPr>
              <w:t>20</w:t>
            </w:r>
            <w:r>
              <w:rPr>
                <w:rFonts w:hint="default" w:asciiTheme="minorAscii" w:hAnsiTheme="minorAscii"/>
                <w:b w:val="0"/>
                <w:bCs w:val="0"/>
                <w:color w:val="auto"/>
                <w:sz w:val="21"/>
                <w:szCs w:val="21"/>
                <w:highlight w:val="none"/>
              </w:rPr>
              <w:t>（</w:t>
            </w:r>
            <w:r>
              <w:rPr>
                <w:rFonts w:hint="default" w:asciiTheme="minorAscii" w:hAnsiTheme="minorAscii"/>
                <w:b w:val="0"/>
                <w:bCs w:val="0"/>
                <w:color w:val="auto"/>
                <w:sz w:val="21"/>
                <w:szCs w:val="21"/>
                <w:highlight w:val="none"/>
                <w:lang w:val="en-US" w:eastAsia="zh-CN"/>
              </w:rPr>
              <w:t>60.00</w:t>
            </w:r>
            <w:r>
              <w:rPr>
                <w:rFonts w:hint="default" w:asciiTheme="minorAscii" w:hAnsiTheme="minorAscii"/>
                <w:b w:val="0"/>
                <w:bCs w:val="0"/>
                <w:color w:val="auto"/>
                <w:sz w:val="21"/>
                <w:szCs w:val="21"/>
                <w:highlight w:val="none"/>
              </w:rPr>
              <w:t>）</w:t>
            </w:r>
          </w:p>
          <w:p>
            <w:pPr>
              <w:jc w:val="center"/>
              <w:rPr>
                <w:rFonts w:hint="default" w:asciiTheme="minorAscii" w:hAnsiTheme="minorAscii"/>
                <w:b w:val="0"/>
                <w:bCs w:val="0"/>
                <w:color w:val="auto"/>
                <w:sz w:val="21"/>
                <w:szCs w:val="21"/>
                <w:highlight w:val="none"/>
              </w:rPr>
            </w:pPr>
            <w:r>
              <w:rPr>
                <w:rFonts w:hint="default" w:asciiTheme="minorAscii" w:hAnsiTheme="minorAscii"/>
                <w:b w:val="0"/>
                <w:bCs w:val="0"/>
                <w:color w:val="auto"/>
                <w:sz w:val="21"/>
                <w:szCs w:val="21"/>
                <w:highlight w:val="none"/>
                <w:lang w:val="en-US" w:eastAsia="zh-CN"/>
              </w:rPr>
              <w:t>28</w:t>
            </w:r>
            <w:r>
              <w:rPr>
                <w:rFonts w:hint="default" w:asciiTheme="minorAscii" w:hAnsiTheme="minorAscii"/>
                <w:b w:val="0"/>
                <w:bCs w:val="0"/>
                <w:color w:val="auto"/>
                <w:sz w:val="21"/>
                <w:szCs w:val="21"/>
                <w:highlight w:val="none"/>
              </w:rPr>
              <w:t>（</w:t>
            </w:r>
            <w:r>
              <w:rPr>
                <w:rFonts w:hint="default" w:asciiTheme="minorAscii" w:hAnsiTheme="minorAscii"/>
                <w:b w:val="0"/>
                <w:bCs w:val="0"/>
                <w:color w:val="auto"/>
                <w:sz w:val="21"/>
                <w:szCs w:val="21"/>
                <w:highlight w:val="none"/>
                <w:lang w:val="en-US" w:eastAsia="zh-CN"/>
              </w:rPr>
              <w:t>93.33</w:t>
            </w:r>
            <w:r>
              <w:rPr>
                <w:rFonts w:hint="default" w:asciiTheme="minorAscii" w:hAnsiTheme="minorAscii"/>
                <w:b w:val="0"/>
                <w:bCs w:val="0"/>
                <w:color w:val="auto"/>
                <w:sz w:val="21"/>
                <w:szCs w:val="21"/>
                <w:highlight w:val="none"/>
              </w:rPr>
              <w:t>）</w:t>
            </w:r>
          </w:p>
          <w:p>
            <w:pPr>
              <w:jc w:val="center"/>
              <w:rPr>
                <w:rFonts w:hint="default" w:asciiTheme="minorAscii" w:hAnsiTheme="minorAscii"/>
                <w:b w:val="0"/>
                <w:bCs w:val="0"/>
                <w:color w:val="auto"/>
                <w:sz w:val="21"/>
                <w:szCs w:val="21"/>
                <w:highlight w:val="none"/>
                <w:lang w:val="en-US" w:eastAsia="zh-CN"/>
              </w:rPr>
            </w:pPr>
            <w:r>
              <w:rPr>
                <w:rFonts w:hint="default" w:asciiTheme="minorAscii" w:hAnsiTheme="minorAscii"/>
                <w:b w:val="0"/>
                <w:bCs w:val="0"/>
                <w:color w:val="auto"/>
                <w:sz w:val="21"/>
                <w:szCs w:val="21"/>
                <w:highlight w:val="none"/>
                <w:lang w:val="en-US" w:eastAsia="zh-CN"/>
              </w:rPr>
              <w:t>7.458</w:t>
            </w:r>
          </w:p>
          <w:p>
            <w:pPr>
              <w:jc w:val="center"/>
              <w:rPr>
                <w:rFonts w:hint="default" w:asciiTheme="minorAscii" w:hAnsiTheme="minorAscii" w:eastAsiaTheme="minorEastAsia"/>
                <w:b w:val="0"/>
                <w:bCs w:val="0"/>
                <w:color w:val="auto"/>
                <w:sz w:val="21"/>
                <w:szCs w:val="21"/>
                <w:highlight w:val="none"/>
                <w:lang w:val="en-US" w:eastAsia="zh-CN"/>
              </w:rPr>
            </w:pPr>
            <w:r>
              <w:rPr>
                <w:rFonts w:hint="default" w:asciiTheme="minorAscii" w:hAnsiTheme="minorAscii"/>
                <w:b w:val="0"/>
                <w:bCs w:val="0"/>
                <w:color w:val="auto"/>
                <w:sz w:val="21"/>
                <w:szCs w:val="21"/>
                <w:highlight w:val="none"/>
              </w:rPr>
              <w:t>0.0</w:t>
            </w:r>
            <w:r>
              <w:rPr>
                <w:rFonts w:hint="default" w:asciiTheme="minorAscii" w:hAnsiTheme="minorAscii"/>
                <w:b w:val="0"/>
                <w:bCs w:val="0"/>
                <w:color w:val="auto"/>
                <w:sz w:val="21"/>
                <w:szCs w:val="21"/>
                <w:highlight w:val="none"/>
                <w:lang w:val="en-US" w:eastAsia="zh-CN"/>
              </w:rPr>
              <w:t>00</w:t>
            </w:r>
          </w:p>
        </w:tc>
      </w:tr>
    </w:tbl>
    <w:p>
      <w:pPr>
        <w:jc w:val="both"/>
        <w:rPr>
          <w:rFonts w:hint="default" w:asciiTheme="minorAscii" w:hAnsiTheme="minorAscii"/>
          <w:b w:val="0"/>
          <w:bCs w:val="0"/>
          <w:color w:val="auto"/>
          <w:sz w:val="21"/>
          <w:szCs w:val="21"/>
          <w:highlight w:val="none"/>
        </w:rPr>
      </w:pPr>
      <w:r>
        <w:rPr>
          <w:rFonts w:hint="default" w:asciiTheme="minorAscii" w:hAnsiTheme="minorAscii"/>
          <w:b w:val="0"/>
          <w:bCs w:val="0"/>
          <w:color w:val="auto"/>
          <w:sz w:val="21"/>
          <w:szCs w:val="21"/>
          <w:highlight w:val="none"/>
        </w:rPr>
        <w:t>2.2 The pulmonary function indicators of the two groups</w:t>
      </w:r>
    </w:p>
    <w:p>
      <w:pPr>
        <w:jc w:val="left"/>
        <w:rPr>
          <w:rFonts w:hint="default" w:asciiTheme="minorAscii" w:hAnsiTheme="minorAscii"/>
          <w:b w:val="0"/>
          <w:bCs w:val="0"/>
          <w:color w:val="auto"/>
          <w:sz w:val="21"/>
          <w:szCs w:val="21"/>
          <w:highlight w:val="none"/>
        </w:rPr>
      </w:pPr>
      <w:r>
        <w:rPr>
          <w:rFonts w:hint="default" w:asciiTheme="minorAscii" w:hAnsiTheme="minorAscii"/>
          <w:b w:val="0"/>
          <w:bCs w:val="0"/>
          <w:color w:val="auto"/>
          <w:sz w:val="21"/>
          <w:szCs w:val="21"/>
          <w:highlight w:val="none"/>
        </w:rPr>
        <w:t xml:space="preserve">    The comparison between the intervention group and the control group on VT</w:t>
      </w:r>
      <w:r>
        <w:rPr>
          <w:rFonts w:hint="eastAsia" w:asciiTheme="minorAscii" w:hAnsiTheme="minorAscii"/>
          <w:b w:val="0"/>
          <w:bCs w:val="0"/>
          <w:color w:val="auto"/>
          <w:sz w:val="21"/>
          <w:szCs w:val="21"/>
          <w:highlight w:val="none"/>
          <w:lang w:eastAsia="zh-CN"/>
        </w:rPr>
        <w:t>、</w:t>
      </w:r>
      <w:r>
        <w:rPr>
          <w:rFonts w:hint="default" w:asciiTheme="minorAscii" w:hAnsiTheme="minorAscii"/>
          <w:b w:val="0"/>
          <w:bCs w:val="0"/>
          <w:color w:val="auto"/>
          <w:sz w:val="21"/>
          <w:szCs w:val="21"/>
          <w:highlight w:val="none"/>
        </w:rPr>
        <w:t>TPTEF/Te</w:t>
      </w:r>
      <w:r>
        <w:rPr>
          <w:rFonts w:hint="eastAsia" w:asciiTheme="minorAscii" w:hAnsiTheme="minorAscii"/>
          <w:b w:val="0"/>
          <w:bCs w:val="0"/>
          <w:color w:val="auto"/>
          <w:sz w:val="21"/>
          <w:szCs w:val="21"/>
          <w:highlight w:val="none"/>
          <w:lang w:eastAsia="zh-CN"/>
        </w:rPr>
        <w:t>、</w:t>
      </w:r>
      <w:r>
        <w:rPr>
          <w:rFonts w:hint="default" w:asciiTheme="minorAscii" w:hAnsiTheme="minorAscii"/>
          <w:b w:val="0"/>
          <w:bCs w:val="0"/>
          <w:color w:val="auto"/>
          <w:sz w:val="21"/>
          <w:szCs w:val="21"/>
          <w:highlight w:val="none"/>
        </w:rPr>
        <w:t xml:space="preserve"> VEF/Te/</w:t>
      </w:r>
      <w:r>
        <w:rPr>
          <w:rFonts w:hint="eastAsia" w:asciiTheme="minorAscii" w:hAnsiTheme="minorAscii"/>
          <w:b w:val="0"/>
          <w:bCs w:val="0"/>
          <w:color w:val="auto"/>
          <w:sz w:val="21"/>
          <w:szCs w:val="21"/>
          <w:highlight w:val="none"/>
          <w:lang w:eastAsia="zh-CN"/>
        </w:rPr>
        <w:t>、</w:t>
      </w:r>
      <w:r>
        <w:rPr>
          <w:rFonts w:hint="default" w:asciiTheme="minorAscii" w:hAnsiTheme="minorAscii"/>
          <w:b w:val="0"/>
          <w:bCs w:val="0"/>
          <w:color w:val="auto"/>
          <w:sz w:val="21"/>
          <w:szCs w:val="21"/>
          <w:highlight w:val="none"/>
        </w:rPr>
        <w:t>Ti/Te pulmonary function indexes was statistically significant (P&lt;0.05). As shown in table 2:</w:t>
      </w:r>
    </w:p>
    <w:p>
      <w:pPr>
        <w:jc w:val="center"/>
        <w:rPr>
          <w:rFonts w:hint="default" w:asciiTheme="minorAscii" w:hAnsiTheme="minorAscii"/>
          <w:b w:val="0"/>
          <w:bCs w:val="0"/>
          <w:color w:val="auto"/>
          <w:sz w:val="21"/>
          <w:szCs w:val="21"/>
          <w:highlight w:val="none"/>
        </w:rPr>
      </w:pPr>
      <w:r>
        <w:rPr>
          <w:rFonts w:hint="default" w:asciiTheme="minorAscii" w:hAnsiTheme="minorAscii"/>
          <w:b w:val="0"/>
          <w:bCs w:val="0"/>
          <w:color w:val="auto"/>
          <w:sz w:val="21"/>
          <w:szCs w:val="21"/>
          <w:highlight w:val="none"/>
        </w:rPr>
        <w:t>Table 2 Comparison of lung function indicators between the two groups (x±s)</w:t>
      </w:r>
    </w:p>
    <w:tbl>
      <w:tblPr>
        <w:tblStyle w:val="2"/>
        <w:tblW w:w="8578" w:type="dxa"/>
        <w:tblInd w:w="0" w:type="dxa"/>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38"/>
        <w:gridCol w:w="838"/>
        <w:gridCol w:w="1426"/>
        <w:gridCol w:w="1500"/>
        <w:gridCol w:w="1515"/>
        <w:gridCol w:w="1561"/>
      </w:tblGrid>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1738" w:type="dxa"/>
            <w:tcBorders>
              <w:bottom w:val="single" w:color="008000" w:sz="6" w:space="0"/>
            </w:tcBorders>
            <w:noWrap w:val="0"/>
            <w:vAlign w:val="top"/>
          </w:tcPr>
          <w:p>
            <w:pPr>
              <w:jc w:val="both"/>
              <w:rPr>
                <w:rFonts w:hint="default" w:asciiTheme="minorAscii" w:hAnsiTheme="minorAscii"/>
                <w:b w:val="0"/>
                <w:bCs w:val="0"/>
                <w:color w:val="auto"/>
                <w:sz w:val="21"/>
                <w:szCs w:val="21"/>
                <w:highlight w:val="none"/>
              </w:rPr>
            </w:pPr>
            <w:r>
              <w:rPr>
                <w:rFonts w:hint="default" w:asciiTheme="minorAscii" w:hAnsiTheme="minorAscii"/>
                <w:b w:val="0"/>
                <w:bCs w:val="0"/>
                <w:color w:val="auto"/>
                <w:sz w:val="21"/>
                <w:szCs w:val="21"/>
                <w:highlight w:val="none"/>
              </w:rPr>
              <w:t>group</w:t>
            </w:r>
          </w:p>
        </w:tc>
        <w:tc>
          <w:tcPr>
            <w:tcW w:w="838" w:type="dxa"/>
            <w:tcBorders>
              <w:bottom w:val="single" w:color="008000" w:sz="6" w:space="0"/>
            </w:tcBorders>
            <w:noWrap w:val="0"/>
            <w:vAlign w:val="top"/>
          </w:tcPr>
          <w:p>
            <w:pPr>
              <w:jc w:val="center"/>
              <w:rPr>
                <w:rFonts w:hint="default" w:asciiTheme="minorAscii" w:hAnsiTheme="minorAscii"/>
                <w:b w:val="0"/>
                <w:bCs w:val="0"/>
                <w:color w:val="auto"/>
                <w:sz w:val="21"/>
                <w:szCs w:val="21"/>
                <w:highlight w:val="none"/>
              </w:rPr>
            </w:pPr>
            <w:r>
              <w:rPr>
                <w:rFonts w:hint="default" w:asciiTheme="minorAscii" w:hAnsiTheme="minorAscii"/>
                <w:b w:val="0"/>
                <w:bCs w:val="0"/>
                <w:color w:val="auto"/>
                <w:sz w:val="21"/>
                <w:szCs w:val="21"/>
                <w:highlight w:val="none"/>
              </w:rPr>
              <w:t>Number of cases</w:t>
            </w:r>
          </w:p>
        </w:tc>
        <w:tc>
          <w:tcPr>
            <w:tcW w:w="1426" w:type="dxa"/>
            <w:tcBorders>
              <w:bottom w:val="single" w:color="008000" w:sz="6" w:space="0"/>
            </w:tcBorders>
            <w:noWrap w:val="0"/>
            <w:vAlign w:val="top"/>
          </w:tcPr>
          <w:p>
            <w:pPr>
              <w:jc w:val="center"/>
              <w:rPr>
                <w:rFonts w:hint="default" w:asciiTheme="minorAscii" w:hAnsiTheme="minorAscii"/>
                <w:b w:val="0"/>
                <w:bCs w:val="0"/>
                <w:color w:val="auto"/>
                <w:sz w:val="21"/>
                <w:szCs w:val="21"/>
                <w:highlight w:val="none"/>
                <w:lang w:val="en-US" w:eastAsia="zh-CN"/>
              </w:rPr>
            </w:pPr>
            <w:r>
              <w:rPr>
                <w:rFonts w:hint="default" w:asciiTheme="minorAscii" w:hAnsiTheme="minorAscii"/>
                <w:b w:val="0"/>
                <w:bCs w:val="0"/>
                <w:color w:val="auto"/>
                <w:sz w:val="21"/>
                <w:szCs w:val="21"/>
                <w:highlight w:val="none"/>
                <w:lang w:val="en-US" w:eastAsia="zh-CN"/>
              </w:rPr>
              <w:t>VT</w:t>
            </w:r>
            <w:r>
              <w:rPr>
                <w:rFonts w:hint="default" w:asciiTheme="minorAscii" w:hAnsiTheme="minorAscii"/>
                <w:b w:val="0"/>
                <w:bCs w:val="0"/>
                <w:color w:val="auto"/>
                <w:sz w:val="21"/>
                <w:szCs w:val="21"/>
                <w:highlight w:val="none"/>
                <w:lang w:eastAsia="zh-CN"/>
              </w:rPr>
              <w:t>（</w:t>
            </w:r>
            <w:r>
              <w:rPr>
                <w:rFonts w:hint="default" w:asciiTheme="minorAscii" w:hAnsiTheme="minorAscii"/>
                <w:b w:val="0"/>
                <w:bCs w:val="0"/>
                <w:color w:val="auto"/>
                <w:sz w:val="21"/>
                <w:szCs w:val="21"/>
                <w:highlight w:val="none"/>
                <w:lang w:val="en-US" w:eastAsia="zh-CN"/>
              </w:rPr>
              <w:t>ml/kg）</w:t>
            </w:r>
          </w:p>
          <w:p>
            <w:pPr>
              <w:jc w:val="center"/>
              <w:rPr>
                <w:rFonts w:hint="default" w:eastAsia="宋体" w:asciiTheme="minorAscii" w:hAnsiTheme="minorAscii"/>
                <w:b w:val="0"/>
                <w:bCs w:val="0"/>
                <w:color w:val="auto"/>
                <w:sz w:val="21"/>
                <w:szCs w:val="21"/>
                <w:highlight w:val="none"/>
                <w:lang w:eastAsia="zh-CN"/>
              </w:rPr>
            </w:pPr>
          </w:p>
        </w:tc>
        <w:tc>
          <w:tcPr>
            <w:tcW w:w="1500" w:type="dxa"/>
            <w:tcBorders>
              <w:bottom w:val="single" w:color="008000" w:sz="6" w:space="0"/>
            </w:tcBorders>
            <w:noWrap w:val="0"/>
            <w:vAlign w:val="top"/>
          </w:tcPr>
          <w:p>
            <w:pPr>
              <w:jc w:val="center"/>
              <w:rPr>
                <w:rFonts w:hint="default" w:eastAsia="宋体" w:asciiTheme="minorAscii" w:hAnsiTheme="minorAscii"/>
                <w:b w:val="0"/>
                <w:bCs w:val="0"/>
                <w:color w:val="auto"/>
                <w:sz w:val="21"/>
                <w:szCs w:val="21"/>
                <w:highlight w:val="none"/>
                <w:lang w:eastAsia="zh-CN"/>
              </w:rPr>
            </w:pPr>
            <w:r>
              <w:rPr>
                <w:rFonts w:hint="default" w:asciiTheme="minorAscii" w:hAnsiTheme="minorAscii"/>
                <w:b w:val="0"/>
                <w:bCs w:val="0"/>
                <w:color w:val="auto"/>
                <w:sz w:val="21"/>
                <w:szCs w:val="21"/>
                <w:highlight w:val="none"/>
                <w:lang w:val="en-US" w:eastAsia="zh-CN"/>
              </w:rPr>
              <w:t>TPTEF/Te</w:t>
            </w:r>
            <w:r>
              <w:rPr>
                <w:rFonts w:hint="default" w:asciiTheme="minorAscii" w:hAnsiTheme="minorAscii"/>
                <w:b w:val="0"/>
                <w:bCs w:val="0"/>
                <w:color w:val="auto"/>
                <w:sz w:val="21"/>
                <w:szCs w:val="21"/>
                <w:highlight w:val="none"/>
                <w:lang w:eastAsia="zh-CN"/>
              </w:rPr>
              <w:t>（</w:t>
            </w:r>
            <w:r>
              <w:rPr>
                <w:rFonts w:hint="default" w:asciiTheme="minorAscii" w:hAnsiTheme="minorAscii"/>
                <w:b w:val="0"/>
                <w:bCs w:val="0"/>
                <w:color w:val="auto"/>
                <w:sz w:val="21"/>
                <w:szCs w:val="21"/>
                <w:highlight w:val="none"/>
                <w:lang w:val="en-US" w:eastAsia="zh-CN"/>
              </w:rPr>
              <w:t>%</w:t>
            </w:r>
            <w:r>
              <w:rPr>
                <w:rFonts w:hint="default" w:asciiTheme="minorAscii" w:hAnsiTheme="minorAscii"/>
                <w:b w:val="0"/>
                <w:bCs w:val="0"/>
                <w:color w:val="auto"/>
                <w:sz w:val="21"/>
                <w:szCs w:val="21"/>
                <w:highlight w:val="none"/>
                <w:lang w:eastAsia="zh-CN"/>
              </w:rPr>
              <w:t>）</w:t>
            </w:r>
          </w:p>
        </w:tc>
        <w:tc>
          <w:tcPr>
            <w:tcW w:w="1515" w:type="dxa"/>
            <w:tcBorders>
              <w:bottom w:val="single" w:color="008000" w:sz="6" w:space="0"/>
            </w:tcBorders>
            <w:noWrap w:val="0"/>
            <w:vAlign w:val="top"/>
          </w:tcPr>
          <w:p>
            <w:pPr>
              <w:jc w:val="center"/>
              <w:rPr>
                <w:rFonts w:hint="default" w:eastAsia="宋体" w:asciiTheme="minorAscii" w:hAnsiTheme="minorAscii"/>
                <w:b w:val="0"/>
                <w:bCs w:val="0"/>
                <w:color w:val="auto"/>
                <w:sz w:val="21"/>
                <w:szCs w:val="21"/>
                <w:highlight w:val="none"/>
                <w:lang w:val="en-US" w:eastAsia="zh-CN"/>
              </w:rPr>
            </w:pPr>
            <w:r>
              <w:rPr>
                <w:rFonts w:hint="default" w:asciiTheme="minorAscii" w:hAnsiTheme="minorAscii"/>
                <w:b w:val="0"/>
                <w:bCs w:val="0"/>
                <w:color w:val="auto"/>
                <w:sz w:val="21"/>
                <w:szCs w:val="21"/>
                <w:highlight w:val="none"/>
                <w:lang w:val="en-US" w:eastAsia="zh-CN"/>
              </w:rPr>
              <w:t>VEF/Te/（%）</w:t>
            </w:r>
          </w:p>
        </w:tc>
        <w:tc>
          <w:tcPr>
            <w:tcW w:w="1561" w:type="dxa"/>
            <w:tcBorders>
              <w:bottom w:val="single" w:color="008000" w:sz="6" w:space="0"/>
            </w:tcBorders>
            <w:noWrap w:val="0"/>
            <w:vAlign w:val="top"/>
          </w:tcPr>
          <w:p>
            <w:pPr>
              <w:jc w:val="center"/>
              <w:rPr>
                <w:rFonts w:hint="default" w:asciiTheme="minorAscii" w:hAnsiTheme="minorAscii"/>
                <w:b w:val="0"/>
                <w:bCs w:val="0"/>
                <w:color w:val="auto"/>
                <w:sz w:val="21"/>
                <w:szCs w:val="21"/>
                <w:highlight w:val="none"/>
                <w:lang w:val="en-US" w:eastAsia="zh-CN"/>
              </w:rPr>
            </w:pPr>
            <w:r>
              <w:rPr>
                <w:rFonts w:hint="default" w:asciiTheme="minorAscii" w:hAnsiTheme="minorAscii"/>
                <w:b w:val="0"/>
                <w:bCs w:val="0"/>
                <w:color w:val="auto"/>
                <w:sz w:val="21"/>
                <w:szCs w:val="21"/>
                <w:highlight w:val="none"/>
                <w:lang w:val="en-US" w:eastAsia="zh-CN"/>
              </w:rPr>
              <w:t>Ti/Te</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9" w:hRule="atLeast"/>
        </w:trPr>
        <w:tc>
          <w:tcPr>
            <w:tcW w:w="1738" w:type="dxa"/>
            <w:tcBorders>
              <w:top w:val="single" w:color="008000" w:sz="6" w:space="0"/>
            </w:tcBorders>
            <w:noWrap w:val="0"/>
            <w:vAlign w:val="top"/>
          </w:tcPr>
          <w:p>
            <w:pPr>
              <w:jc w:val="center"/>
              <w:rPr>
                <w:rFonts w:hint="default" w:asciiTheme="minorAscii" w:hAnsiTheme="minorAscii"/>
                <w:b w:val="0"/>
                <w:bCs w:val="0"/>
                <w:color w:val="auto"/>
                <w:sz w:val="21"/>
                <w:szCs w:val="21"/>
                <w:highlight w:val="none"/>
              </w:rPr>
            </w:pPr>
            <w:r>
              <w:rPr>
                <w:rFonts w:hint="default" w:asciiTheme="minorAscii" w:hAnsiTheme="minorAscii"/>
                <w:b w:val="0"/>
                <w:bCs w:val="0"/>
                <w:color w:val="auto"/>
                <w:sz w:val="21"/>
                <w:szCs w:val="21"/>
                <w:highlight w:val="none"/>
              </w:rPr>
              <w:t>Control</w:t>
            </w:r>
            <w:r>
              <w:rPr>
                <w:rFonts w:hint="default" w:asciiTheme="minorAscii" w:hAnsiTheme="minorAscii"/>
                <w:b w:val="0"/>
                <w:bCs w:val="0"/>
                <w:color w:val="auto"/>
                <w:sz w:val="21"/>
                <w:szCs w:val="21"/>
                <w:highlight w:val="none"/>
                <w:lang w:val="en-US" w:eastAsia="zh-CN"/>
              </w:rPr>
              <w:t xml:space="preserve"> </w:t>
            </w:r>
            <w:r>
              <w:rPr>
                <w:rFonts w:hint="default" w:asciiTheme="minorAscii" w:hAnsiTheme="minorAscii"/>
                <w:b w:val="0"/>
                <w:bCs w:val="0"/>
                <w:color w:val="auto"/>
                <w:sz w:val="21"/>
                <w:szCs w:val="21"/>
                <w:highlight w:val="none"/>
              </w:rPr>
              <w:t>group</w:t>
            </w:r>
          </w:p>
          <w:p>
            <w:pPr>
              <w:jc w:val="center"/>
              <w:rPr>
                <w:rFonts w:hint="default" w:asciiTheme="minorAscii" w:hAnsiTheme="minorAscii"/>
                <w:b w:val="0"/>
                <w:bCs w:val="0"/>
                <w:color w:val="auto"/>
                <w:sz w:val="21"/>
                <w:szCs w:val="21"/>
                <w:highlight w:val="none"/>
              </w:rPr>
            </w:pPr>
            <w:r>
              <w:rPr>
                <w:rFonts w:hint="default" w:asciiTheme="minorAscii" w:hAnsiTheme="minorAscii"/>
                <w:b w:val="0"/>
                <w:bCs w:val="0"/>
                <w:color w:val="auto"/>
                <w:sz w:val="21"/>
                <w:szCs w:val="21"/>
                <w:highlight w:val="none"/>
              </w:rPr>
              <w:t>Intervention group</w:t>
            </w:r>
          </w:p>
          <w:p>
            <w:pPr>
              <w:jc w:val="center"/>
              <w:rPr>
                <w:rFonts w:hint="default" w:asciiTheme="minorAscii" w:hAnsiTheme="minorAscii"/>
                <w:b w:val="0"/>
                <w:bCs w:val="0"/>
                <w:color w:val="auto"/>
                <w:sz w:val="21"/>
                <w:szCs w:val="21"/>
                <w:highlight w:val="none"/>
              </w:rPr>
            </w:pPr>
            <w:r>
              <w:rPr>
                <w:rFonts w:hint="default" w:asciiTheme="minorAscii" w:hAnsiTheme="minorAscii"/>
                <w:b w:val="0"/>
                <w:bCs w:val="0"/>
                <w:color w:val="auto"/>
                <w:sz w:val="21"/>
                <w:szCs w:val="21"/>
                <w:highlight w:val="none"/>
              </w:rPr>
              <w:t>t</w:t>
            </w:r>
          </w:p>
          <w:p>
            <w:pPr>
              <w:jc w:val="center"/>
              <w:rPr>
                <w:rFonts w:hint="default" w:asciiTheme="minorAscii" w:hAnsiTheme="minorAscii"/>
                <w:b w:val="0"/>
                <w:bCs w:val="0"/>
                <w:color w:val="auto"/>
                <w:sz w:val="21"/>
                <w:szCs w:val="21"/>
                <w:highlight w:val="none"/>
              </w:rPr>
            </w:pPr>
            <w:r>
              <w:rPr>
                <w:rFonts w:hint="default" w:asciiTheme="minorAscii" w:hAnsiTheme="minorAscii"/>
                <w:b w:val="0"/>
                <w:bCs w:val="0"/>
                <w:color w:val="auto"/>
                <w:sz w:val="21"/>
                <w:szCs w:val="21"/>
                <w:highlight w:val="none"/>
              </w:rPr>
              <w:t>P</w:t>
            </w:r>
          </w:p>
        </w:tc>
        <w:tc>
          <w:tcPr>
            <w:tcW w:w="838" w:type="dxa"/>
            <w:tcBorders>
              <w:top w:val="single" w:color="008000" w:sz="6" w:space="0"/>
            </w:tcBorders>
            <w:noWrap w:val="0"/>
            <w:vAlign w:val="top"/>
          </w:tcPr>
          <w:p>
            <w:pPr>
              <w:jc w:val="center"/>
              <w:rPr>
                <w:rFonts w:hint="default" w:asciiTheme="minorAscii" w:hAnsiTheme="minorAscii"/>
                <w:b w:val="0"/>
                <w:bCs w:val="0"/>
                <w:color w:val="auto"/>
                <w:sz w:val="21"/>
                <w:szCs w:val="21"/>
                <w:highlight w:val="none"/>
                <w:lang w:val="en-US" w:eastAsia="zh-CN"/>
              </w:rPr>
            </w:pPr>
            <w:r>
              <w:rPr>
                <w:rFonts w:hint="default" w:asciiTheme="minorAscii" w:hAnsiTheme="minorAscii"/>
                <w:b w:val="0"/>
                <w:bCs w:val="0"/>
                <w:color w:val="auto"/>
                <w:sz w:val="21"/>
                <w:szCs w:val="21"/>
                <w:highlight w:val="none"/>
                <w:lang w:val="en-US" w:eastAsia="zh-CN"/>
              </w:rPr>
              <w:t>30</w:t>
            </w:r>
          </w:p>
          <w:p>
            <w:pPr>
              <w:jc w:val="center"/>
              <w:rPr>
                <w:rFonts w:hint="default" w:asciiTheme="minorAscii" w:hAnsiTheme="minorAscii"/>
                <w:b w:val="0"/>
                <w:bCs w:val="0"/>
                <w:color w:val="auto"/>
                <w:sz w:val="21"/>
                <w:szCs w:val="21"/>
                <w:highlight w:val="none"/>
                <w:lang w:val="en-US" w:eastAsia="zh-CN"/>
              </w:rPr>
            </w:pPr>
            <w:r>
              <w:rPr>
                <w:rFonts w:hint="default" w:asciiTheme="minorAscii" w:hAnsiTheme="minorAscii"/>
                <w:b w:val="0"/>
                <w:bCs w:val="0"/>
                <w:color w:val="auto"/>
                <w:sz w:val="21"/>
                <w:szCs w:val="21"/>
                <w:highlight w:val="none"/>
                <w:lang w:val="en-US" w:eastAsia="zh-CN"/>
              </w:rPr>
              <w:t>30</w:t>
            </w:r>
          </w:p>
          <w:p>
            <w:pPr>
              <w:jc w:val="center"/>
              <w:rPr>
                <w:rFonts w:hint="default" w:asciiTheme="minorAscii" w:hAnsiTheme="minorAscii"/>
                <w:b w:val="0"/>
                <w:bCs w:val="0"/>
                <w:color w:val="auto"/>
                <w:sz w:val="21"/>
                <w:szCs w:val="21"/>
                <w:highlight w:val="none"/>
              </w:rPr>
            </w:pPr>
            <w:r>
              <w:rPr>
                <w:rFonts w:hint="default" w:asciiTheme="minorAscii" w:hAnsiTheme="minorAscii"/>
                <w:b w:val="0"/>
                <w:bCs w:val="0"/>
                <w:color w:val="auto"/>
                <w:sz w:val="21"/>
                <w:szCs w:val="21"/>
                <w:highlight w:val="none"/>
              </w:rPr>
              <w:t>/</w:t>
            </w:r>
          </w:p>
          <w:p>
            <w:pPr>
              <w:jc w:val="center"/>
              <w:rPr>
                <w:rFonts w:hint="default" w:asciiTheme="minorAscii" w:hAnsiTheme="minorAscii"/>
                <w:b w:val="0"/>
                <w:bCs w:val="0"/>
                <w:color w:val="auto"/>
                <w:sz w:val="21"/>
                <w:szCs w:val="21"/>
                <w:highlight w:val="none"/>
              </w:rPr>
            </w:pPr>
            <w:r>
              <w:rPr>
                <w:rFonts w:hint="default" w:asciiTheme="minorAscii" w:hAnsiTheme="minorAscii"/>
                <w:b w:val="0"/>
                <w:bCs w:val="0"/>
                <w:color w:val="auto"/>
                <w:sz w:val="21"/>
                <w:szCs w:val="21"/>
                <w:highlight w:val="none"/>
              </w:rPr>
              <w:t>/</w:t>
            </w:r>
          </w:p>
        </w:tc>
        <w:tc>
          <w:tcPr>
            <w:tcW w:w="1426" w:type="dxa"/>
            <w:tcBorders>
              <w:top w:val="single" w:color="008000" w:sz="6" w:space="0"/>
            </w:tcBorders>
            <w:noWrap w:val="0"/>
            <w:vAlign w:val="top"/>
          </w:tcPr>
          <w:p>
            <w:pPr>
              <w:jc w:val="center"/>
              <w:rPr>
                <w:rFonts w:hint="default" w:eastAsia="宋体" w:cs="宋体" w:asciiTheme="minorAscii" w:hAnsiTheme="minorAscii"/>
                <w:b w:val="0"/>
                <w:bCs w:val="0"/>
                <w:color w:val="auto"/>
                <w:sz w:val="21"/>
                <w:szCs w:val="21"/>
                <w:highlight w:val="none"/>
                <w:lang w:val="en-US" w:eastAsia="zh-CN"/>
              </w:rPr>
            </w:pPr>
            <w:r>
              <w:rPr>
                <w:rFonts w:hint="default" w:asciiTheme="minorAscii" w:hAnsiTheme="minorAscii"/>
                <w:b w:val="0"/>
                <w:bCs w:val="0"/>
                <w:color w:val="auto"/>
                <w:sz w:val="21"/>
                <w:szCs w:val="21"/>
                <w:highlight w:val="none"/>
                <w:lang w:val="en-US" w:eastAsia="zh-CN"/>
              </w:rPr>
              <w:t>8.52</w:t>
            </w:r>
            <w:r>
              <w:rPr>
                <w:rFonts w:hint="default" w:eastAsia="宋体" w:cs="宋体" w:asciiTheme="minorAscii" w:hAnsiTheme="minorAscii"/>
                <w:b w:val="0"/>
                <w:bCs w:val="0"/>
                <w:color w:val="auto"/>
                <w:sz w:val="21"/>
                <w:szCs w:val="21"/>
                <w:highlight w:val="none"/>
              </w:rPr>
              <w:t>±</w:t>
            </w:r>
            <w:r>
              <w:rPr>
                <w:rFonts w:hint="default" w:eastAsia="宋体" w:cs="宋体" w:asciiTheme="minorAscii" w:hAnsiTheme="minorAscii"/>
                <w:b w:val="0"/>
                <w:bCs w:val="0"/>
                <w:color w:val="auto"/>
                <w:sz w:val="21"/>
                <w:szCs w:val="21"/>
                <w:highlight w:val="none"/>
                <w:lang w:val="en-US" w:eastAsia="zh-CN"/>
              </w:rPr>
              <w:t>0.19</w:t>
            </w:r>
          </w:p>
          <w:p>
            <w:pPr>
              <w:jc w:val="center"/>
              <w:rPr>
                <w:rFonts w:hint="default" w:eastAsia="宋体" w:cs="宋体" w:asciiTheme="minorAscii" w:hAnsiTheme="minorAscii"/>
                <w:b w:val="0"/>
                <w:bCs w:val="0"/>
                <w:color w:val="auto"/>
                <w:sz w:val="21"/>
                <w:szCs w:val="21"/>
                <w:highlight w:val="none"/>
                <w:lang w:val="en-US" w:eastAsia="zh-CN"/>
              </w:rPr>
            </w:pPr>
            <w:r>
              <w:rPr>
                <w:rFonts w:hint="default" w:asciiTheme="minorAscii" w:hAnsiTheme="minorAscii"/>
                <w:b w:val="0"/>
                <w:bCs w:val="0"/>
                <w:color w:val="auto"/>
                <w:sz w:val="21"/>
                <w:szCs w:val="21"/>
                <w:highlight w:val="none"/>
                <w:lang w:val="en-US" w:eastAsia="zh-CN"/>
              </w:rPr>
              <w:t>13.46</w:t>
            </w:r>
            <w:r>
              <w:rPr>
                <w:rFonts w:hint="default" w:eastAsia="宋体" w:cs="宋体" w:asciiTheme="minorAscii" w:hAnsiTheme="minorAscii"/>
                <w:b w:val="0"/>
                <w:bCs w:val="0"/>
                <w:color w:val="auto"/>
                <w:sz w:val="21"/>
                <w:szCs w:val="21"/>
                <w:highlight w:val="none"/>
              </w:rPr>
              <w:t>±</w:t>
            </w:r>
            <w:r>
              <w:rPr>
                <w:rFonts w:hint="default" w:eastAsia="宋体" w:cs="宋体" w:asciiTheme="minorAscii" w:hAnsiTheme="minorAscii"/>
                <w:b w:val="0"/>
                <w:bCs w:val="0"/>
                <w:color w:val="auto"/>
                <w:sz w:val="21"/>
                <w:szCs w:val="21"/>
                <w:highlight w:val="none"/>
                <w:lang w:val="en-US" w:eastAsia="zh-CN"/>
              </w:rPr>
              <w:t>0.27</w:t>
            </w:r>
          </w:p>
          <w:p>
            <w:pPr>
              <w:jc w:val="center"/>
              <w:rPr>
                <w:rFonts w:hint="default" w:asciiTheme="minorAscii" w:hAnsiTheme="minorAscii"/>
                <w:b w:val="0"/>
                <w:bCs w:val="0"/>
                <w:color w:val="auto"/>
                <w:sz w:val="21"/>
                <w:szCs w:val="21"/>
                <w:highlight w:val="none"/>
                <w:lang w:val="en-US" w:eastAsia="zh-CN"/>
              </w:rPr>
            </w:pPr>
            <w:r>
              <w:rPr>
                <w:rFonts w:hint="default" w:asciiTheme="minorAscii" w:hAnsiTheme="minorAscii"/>
                <w:b w:val="0"/>
                <w:bCs w:val="0"/>
                <w:color w:val="auto"/>
                <w:sz w:val="21"/>
                <w:szCs w:val="21"/>
                <w:highlight w:val="none"/>
                <w:lang w:val="en-US" w:eastAsia="zh-CN"/>
              </w:rPr>
              <w:t>81.954</w:t>
            </w:r>
          </w:p>
          <w:p>
            <w:pPr>
              <w:jc w:val="center"/>
              <w:rPr>
                <w:rFonts w:hint="default" w:asciiTheme="minorAscii" w:hAnsiTheme="minorAscii" w:eastAsiaTheme="minorEastAsia"/>
                <w:b w:val="0"/>
                <w:bCs w:val="0"/>
                <w:color w:val="auto"/>
                <w:sz w:val="21"/>
                <w:szCs w:val="21"/>
                <w:highlight w:val="none"/>
                <w:lang w:val="en-US" w:eastAsia="zh-CN"/>
              </w:rPr>
            </w:pPr>
            <w:r>
              <w:rPr>
                <w:rFonts w:hint="default" w:asciiTheme="minorAscii" w:hAnsiTheme="minorAscii"/>
                <w:b w:val="0"/>
                <w:bCs w:val="0"/>
                <w:color w:val="auto"/>
                <w:sz w:val="21"/>
                <w:szCs w:val="21"/>
                <w:highlight w:val="none"/>
              </w:rPr>
              <w:t>0.00</w:t>
            </w:r>
            <w:r>
              <w:rPr>
                <w:rFonts w:hint="default" w:asciiTheme="minorAscii" w:hAnsiTheme="minorAscii"/>
                <w:b w:val="0"/>
                <w:bCs w:val="0"/>
                <w:color w:val="auto"/>
                <w:sz w:val="21"/>
                <w:szCs w:val="21"/>
                <w:highlight w:val="none"/>
                <w:lang w:val="en-US" w:eastAsia="zh-CN"/>
              </w:rPr>
              <w:t>0</w:t>
            </w:r>
          </w:p>
        </w:tc>
        <w:tc>
          <w:tcPr>
            <w:tcW w:w="1500" w:type="dxa"/>
            <w:tcBorders>
              <w:top w:val="single" w:color="008000" w:sz="6" w:space="0"/>
            </w:tcBorders>
            <w:noWrap w:val="0"/>
            <w:vAlign w:val="top"/>
          </w:tcPr>
          <w:p>
            <w:pPr>
              <w:jc w:val="center"/>
              <w:rPr>
                <w:rFonts w:hint="default" w:eastAsia="宋体" w:cs="宋体" w:asciiTheme="minorAscii" w:hAnsiTheme="minorAscii"/>
                <w:b w:val="0"/>
                <w:bCs w:val="0"/>
                <w:color w:val="auto"/>
                <w:sz w:val="21"/>
                <w:szCs w:val="21"/>
                <w:highlight w:val="none"/>
                <w:lang w:val="en-US" w:eastAsia="zh-CN"/>
              </w:rPr>
            </w:pPr>
            <w:r>
              <w:rPr>
                <w:rFonts w:hint="default" w:eastAsia="宋体" w:cs="宋体" w:asciiTheme="minorAscii" w:hAnsiTheme="minorAscii"/>
                <w:b w:val="0"/>
                <w:bCs w:val="0"/>
                <w:color w:val="auto"/>
                <w:sz w:val="21"/>
                <w:szCs w:val="21"/>
                <w:highlight w:val="none"/>
                <w:lang w:val="en-US" w:eastAsia="zh-CN"/>
              </w:rPr>
              <w:t>30.04</w:t>
            </w:r>
            <w:r>
              <w:rPr>
                <w:rFonts w:hint="default" w:eastAsia="宋体" w:cs="宋体" w:asciiTheme="minorAscii" w:hAnsiTheme="minorAscii"/>
                <w:b w:val="0"/>
                <w:bCs w:val="0"/>
                <w:color w:val="auto"/>
                <w:sz w:val="21"/>
                <w:szCs w:val="21"/>
                <w:highlight w:val="none"/>
              </w:rPr>
              <w:t>±</w:t>
            </w:r>
            <w:r>
              <w:rPr>
                <w:rFonts w:hint="default" w:eastAsia="宋体" w:cs="宋体" w:asciiTheme="minorAscii" w:hAnsiTheme="minorAscii"/>
                <w:b w:val="0"/>
                <w:bCs w:val="0"/>
                <w:color w:val="auto"/>
                <w:sz w:val="21"/>
                <w:szCs w:val="21"/>
                <w:highlight w:val="none"/>
                <w:lang w:val="en-US" w:eastAsia="zh-CN"/>
              </w:rPr>
              <w:t>6.19</w:t>
            </w:r>
          </w:p>
          <w:p>
            <w:pPr>
              <w:jc w:val="center"/>
              <w:rPr>
                <w:rFonts w:hint="default" w:eastAsia="宋体" w:cs="宋体" w:asciiTheme="minorAscii" w:hAnsiTheme="minorAscii"/>
                <w:b w:val="0"/>
                <w:bCs w:val="0"/>
                <w:color w:val="auto"/>
                <w:sz w:val="21"/>
                <w:szCs w:val="21"/>
                <w:highlight w:val="none"/>
                <w:lang w:val="en-US"/>
              </w:rPr>
            </w:pPr>
            <w:r>
              <w:rPr>
                <w:rFonts w:hint="default" w:eastAsia="宋体" w:cs="宋体" w:asciiTheme="minorAscii" w:hAnsiTheme="minorAscii"/>
                <w:b w:val="0"/>
                <w:bCs w:val="0"/>
                <w:color w:val="auto"/>
                <w:sz w:val="21"/>
                <w:szCs w:val="21"/>
                <w:highlight w:val="none"/>
                <w:lang w:val="en-US" w:eastAsia="zh-CN"/>
              </w:rPr>
              <w:t>33.13</w:t>
            </w:r>
            <w:r>
              <w:rPr>
                <w:rFonts w:hint="default" w:eastAsia="宋体" w:cs="宋体" w:asciiTheme="minorAscii" w:hAnsiTheme="minorAscii"/>
                <w:b w:val="0"/>
                <w:bCs w:val="0"/>
                <w:color w:val="auto"/>
                <w:sz w:val="21"/>
                <w:szCs w:val="21"/>
                <w:highlight w:val="none"/>
              </w:rPr>
              <w:t>±</w:t>
            </w:r>
            <w:r>
              <w:rPr>
                <w:rFonts w:hint="default" w:eastAsia="宋体" w:cs="宋体" w:asciiTheme="minorAscii" w:hAnsiTheme="minorAscii"/>
                <w:b w:val="0"/>
                <w:bCs w:val="0"/>
                <w:color w:val="auto"/>
                <w:sz w:val="21"/>
                <w:szCs w:val="21"/>
                <w:highlight w:val="none"/>
                <w:lang w:val="en-US" w:eastAsia="zh-CN"/>
              </w:rPr>
              <w:t>4.60</w:t>
            </w:r>
          </w:p>
          <w:p>
            <w:pPr>
              <w:jc w:val="center"/>
              <w:rPr>
                <w:rFonts w:hint="default" w:asciiTheme="minorAscii" w:hAnsiTheme="minorAscii" w:eastAsiaTheme="minorEastAsia"/>
                <w:b w:val="0"/>
                <w:bCs w:val="0"/>
                <w:color w:val="auto"/>
                <w:sz w:val="21"/>
                <w:szCs w:val="21"/>
                <w:highlight w:val="none"/>
                <w:lang w:val="en-US" w:eastAsia="zh-CN"/>
              </w:rPr>
            </w:pPr>
            <w:r>
              <w:rPr>
                <w:rFonts w:hint="default" w:asciiTheme="minorAscii" w:hAnsiTheme="minorAscii"/>
                <w:b w:val="0"/>
                <w:bCs w:val="0"/>
                <w:color w:val="auto"/>
                <w:sz w:val="21"/>
                <w:szCs w:val="21"/>
                <w:highlight w:val="none"/>
                <w:lang w:val="en-US" w:eastAsia="zh-CN"/>
              </w:rPr>
              <w:t>2.194</w:t>
            </w:r>
          </w:p>
          <w:p>
            <w:pPr>
              <w:jc w:val="center"/>
              <w:rPr>
                <w:rFonts w:hint="default" w:asciiTheme="minorAscii" w:hAnsiTheme="minorAscii" w:eastAsiaTheme="minorEastAsia"/>
                <w:b w:val="0"/>
                <w:bCs w:val="0"/>
                <w:color w:val="auto"/>
                <w:sz w:val="21"/>
                <w:szCs w:val="21"/>
                <w:highlight w:val="none"/>
                <w:lang w:val="en-US" w:eastAsia="zh-CN"/>
              </w:rPr>
            </w:pPr>
            <w:r>
              <w:rPr>
                <w:rFonts w:hint="default" w:asciiTheme="minorAscii" w:hAnsiTheme="minorAscii"/>
                <w:b w:val="0"/>
                <w:bCs w:val="0"/>
                <w:color w:val="auto"/>
                <w:sz w:val="21"/>
                <w:szCs w:val="21"/>
                <w:highlight w:val="none"/>
              </w:rPr>
              <w:t>0.0</w:t>
            </w:r>
            <w:r>
              <w:rPr>
                <w:rFonts w:hint="default" w:asciiTheme="minorAscii" w:hAnsiTheme="minorAscii"/>
                <w:b w:val="0"/>
                <w:bCs w:val="0"/>
                <w:color w:val="auto"/>
                <w:sz w:val="21"/>
                <w:szCs w:val="21"/>
                <w:highlight w:val="none"/>
                <w:lang w:val="en-US" w:eastAsia="zh-CN"/>
              </w:rPr>
              <w:t>32</w:t>
            </w:r>
          </w:p>
        </w:tc>
        <w:tc>
          <w:tcPr>
            <w:tcW w:w="1515" w:type="dxa"/>
            <w:tcBorders>
              <w:top w:val="single" w:color="008000" w:sz="6" w:space="0"/>
            </w:tcBorders>
            <w:noWrap w:val="0"/>
            <w:vAlign w:val="top"/>
          </w:tcPr>
          <w:p>
            <w:pPr>
              <w:jc w:val="center"/>
              <w:rPr>
                <w:rFonts w:hint="default" w:eastAsia="宋体" w:asciiTheme="minorAscii" w:hAnsiTheme="minorAscii"/>
                <w:b w:val="0"/>
                <w:bCs w:val="0"/>
                <w:color w:val="auto"/>
                <w:sz w:val="21"/>
                <w:szCs w:val="21"/>
                <w:highlight w:val="none"/>
                <w:lang w:val="en-US" w:eastAsia="zh-CN"/>
              </w:rPr>
            </w:pPr>
            <w:r>
              <w:rPr>
                <w:rFonts w:hint="default" w:asciiTheme="minorAscii" w:hAnsiTheme="minorAscii"/>
                <w:b w:val="0"/>
                <w:bCs w:val="0"/>
                <w:color w:val="auto"/>
                <w:sz w:val="21"/>
                <w:szCs w:val="21"/>
                <w:highlight w:val="none"/>
                <w:lang w:val="en-US" w:eastAsia="zh-CN"/>
              </w:rPr>
              <w:t>31.15</w:t>
            </w:r>
            <w:r>
              <w:rPr>
                <w:rFonts w:hint="default" w:eastAsia="宋体" w:cs="宋体" w:asciiTheme="minorAscii" w:hAnsiTheme="minorAscii"/>
                <w:b w:val="0"/>
                <w:bCs w:val="0"/>
                <w:color w:val="auto"/>
                <w:sz w:val="21"/>
                <w:szCs w:val="21"/>
                <w:highlight w:val="none"/>
              </w:rPr>
              <w:t>±</w:t>
            </w:r>
            <w:r>
              <w:rPr>
                <w:rFonts w:hint="default" w:eastAsia="宋体" w:cs="宋体" w:asciiTheme="minorAscii" w:hAnsiTheme="minorAscii"/>
                <w:b w:val="0"/>
                <w:bCs w:val="0"/>
                <w:color w:val="auto"/>
                <w:sz w:val="21"/>
                <w:szCs w:val="21"/>
                <w:highlight w:val="none"/>
                <w:lang w:val="en-US" w:eastAsia="zh-CN"/>
              </w:rPr>
              <w:t>5.06</w:t>
            </w:r>
          </w:p>
          <w:p>
            <w:pPr>
              <w:jc w:val="center"/>
              <w:rPr>
                <w:rFonts w:hint="default" w:eastAsia="宋体" w:cs="宋体" w:asciiTheme="minorAscii" w:hAnsiTheme="minorAscii"/>
                <w:b w:val="0"/>
                <w:bCs w:val="0"/>
                <w:color w:val="auto"/>
                <w:sz w:val="21"/>
                <w:szCs w:val="21"/>
                <w:highlight w:val="none"/>
                <w:lang w:val="en-US"/>
              </w:rPr>
            </w:pPr>
            <w:r>
              <w:rPr>
                <w:rFonts w:hint="default" w:asciiTheme="minorAscii" w:hAnsiTheme="minorAscii"/>
                <w:b w:val="0"/>
                <w:bCs w:val="0"/>
                <w:color w:val="auto"/>
                <w:sz w:val="21"/>
                <w:szCs w:val="21"/>
                <w:highlight w:val="none"/>
                <w:lang w:val="en-US" w:eastAsia="zh-CN"/>
              </w:rPr>
              <w:t>36.37</w:t>
            </w:r>
            <w:r>
              <w:rPr>
                <w:rFonts w:hint="default" w:eastAsia="宋体" w:cs="宋体" w:asciiTheme="minorAscii" w:hAnsiTheme="minorAscii"/>
                <w:b w:val="0"/>
                <w:bCs w:val="0"/>
                <w:color w:val="auto"/>
                <w:sz w:val="21"/>
                <w:szCs w:val="21"/>
                <w:highlight w:val="none"/>
              </w:rPr>
              <w:t>±</w:t>
            </w:r>
            <w:r>
              <w:rPr>
                <w:rFonts w:hint="default" w:eastAsia="宋体" w:cs="宋体" w:asciiTheme="minorAscii" w:hAnsiTheme="minorAscii"/>
                <w:b w:val="0"/>
                <w:bCs w:val="0"/>
                <w:color w:val="auto"/>
                <w:sz w:val="21"/>
                <w:szCs w:val="21"/>
                <w:highlight w:val="none"/>
                <w:lang w:val="en-US" w:eastAsia="zh-CN"/>
              </w:rPr>
              <w:t>13.18</w:t>
            </w:r>
          </w:p>
          <w:p>
            <w:pPr>
              <w:jc w:val="center"/>
              <w:rPr>
                <w:rFonts w:hint="default" w:asciiTheme="minorAscii" w:hAnsiTheme="minorAscii"/>
                <w:b w:val="0"/>
                <w:bCs w:val="0"/>
                <w:color w:val="auto"/>
                <w:sz w:val="21"/>
                <w:szCs w:val="21"/>
                <w:highlight w:val="none"/>
                <w:lang w:val="en-US" w:eastAsia="zh-CN"/>
              </w:rPr>
            </w:pPr>
            <w:r>
              <w:rPr>
                <w:rFonts w:hint="default" w:asciiTheme="minorAscii" w:hAnsiTheme="minorAscii"/>
                <w:b w:val="0"/>
                <w:bCs w:val="0"/>
                <w:color w:val="auto"/>
                <w:sz w:val="21"/>
                <w:szCs w:val="21"/>
                <w:highlight w:val="none"/>
                <w:lang w:val="en-US" w:eastAsia="zh-CN"/>
              </w:rPr>
              <w:t>2.025</w:t>
            </w:r>
          </w:p>
          <w:p>
            <w:pPr>
              <w:jc w:val="center"/>
              <w:rPr>
                <w:rFonts w:hint="default" w:asciiTheme="minorAscii" w:hAnsiTheme="minorAscii" w:eastAsiaTheme="minorEastAsia"/>
                <w:b w:val="0"/>
                <w:bCs w:val="0"/>
                <w:color w:val="auto"/>
                <w:sz w:val="21"/>
                <w:szCs w:val="21"/>
                <w:highlight w:val="none"/>
                <w:lang w:val="en-US" w:eastAsia="zh-CN"/>
              </w:rPr>
            </w:pPr>
            <w:r>
              <w:rPr>
                <w:rFonts w:hint="default" w:asciiTheme="minorAscii" w:hAnsiTheme="minorAscii"/>
                <w:b w:val="0"/>
                <w:bCs w:val="0"/>
                <w:color w:val="auto"/>
                <w:sz w:val="21"/>
                <w:szCs w:val="21"/>
                <w:highlight w:val="none"/>
              </w:rPr>
              <w:t>0.0</w:t>
            </w:r>
            <w:r>
              <w:rPr>
                <w:rFonts w:hint="default" w:asciiTheme="minorAscii" w:hAnsiTheme="minorAscii"/>
                <w:b w:val="0"/>
                <w:bCs w:val="0"/>
                <w:color w:val="auto"/>
                <w:sz w:val="21"/>
                <w:szCs w:val="21"/>
                <w:highlight w:val="none"/>
                <w:lang w:val="en-US" w:eastAsia="zh-CN"/>
              </w:rPr>
              <w:t>47</w:t>
            </w:r>
          </w:p>
        </w:tc>
        <w:tc>
          <w:tcPr>
            <w:tcW w:w="1561" w:type="dxa"/>
            <w:tcBorders>
              <w:top w:val="single" w:color="008000" w:sz="6" w:space="0"/>
            </w:tcBorders>
            <w:noWrap w:val="0"/>
            <w:vAlign w:val="top"/>
          </w:tcPr>
          <w:p>
            <w:pPr>
              <w:jc w:val="center"/>
              <w:rPr>
                <w:rFonts w:hint="default" w:eastAsia="宋体" w:asciiTheme="minorAscii" w:hAnsiTheme="minorAscii"/>
                <w:b w:val="0"/>
                <w:bCs w:val="0"/>
                <w:color w:val="auto"/>
                <w:sz w:val="21"/>
                <w:szCs w:val="21"/>
                <w:highlight w:val="none"/>
                <w:lang w:val="en-US" w:eastAsia="zh-CN"/>
              </w:rPr>
            </w:pPr>
            <w:r>
              <w:rPr>
                <w:rFonts w:hint="default" w:asciiTheme="minorAscii" w:hAnsiTheme="minorAscii"/>
                <w:b w:val="0"/>
                <w:bCs w:val="0"/>
                <w:color w:val="auto"/>
                <w:sz w:val="21"/>
                <w:szCs w:val="21"/>
                <w:highlight w:val="none"/>
                <w:lang w:val="en-US" w:eastAsia="zh-CN"/>
              </w:rPr>
              <w:t>10.62</w:t>
            </w:r>
            <w:r>
              <w:rPr>
                <w:rFonts w:hint="default" w:eastAsia="宋体" w:cs="宋体" w:asciiTheme="minorAscii" w:hAnsiTheme="minorAscii"/>
                <w:b w:val="0"/>
                <w:bCs w:val="0"/>
                <w:color w:val="auto"/>
                <w:sz w:val="21"/>
                <w:szCs w:val="21"/>
                <w:highlight w:val="none"/>
              </w:rPr>
              <w:t>±</w:t>
            </w:r>
            <w:r>
              <w:rPr>
                <w:rFonts w:hint="default" w:eastAsia="宋体" w:cs="宋体" w:asciiTheme="minorAscii" w:hAnsiTheme="minorAscii"/>
                <w:b w:val="0"/>
                <w:bCs w:val="0"/>
                <w:color w:val="auto"/>
                <w:sz w:val="21"/>
                <w:szCs w:val="21"/>
                <w:highlight w:val="none"/>
                <w:lang w:val="en-US" w:eastAsia="zh-CN"/>
              </w:rPr>
              <w:t>0.14</w:t>
            </w:r>
          </w:p>
          <w:p>
            <w:pPr>
              <w:jc w:val="center"/>
              <w:rPr>
                <w:rFonts w:hint="default" w:eastAsia="宋体" w:cs="宋体" w:asciiTheme="minorAscii" w:hAnsiTheme="minorAscii"/>
                <w:b w:val="0"/>
                <w:bCs w:val="0"/>
                <w:color w:val="auto"/>
                <w:sz w:val="21"/>
                <w:szCs w:val="21"/>
                <w:highlight w:val="none"/>
                <w:lang w:val="en-US" w:eastAsia="zh-CN"/>
              </w:rPr>
            </w:pPr>
            <w:r>
              <w:rPr>
                <w:rFonts w:hint="default" w:asciiTheme="minorAscii" w:hAnsiTheme="minorAscii"/>
                <w:b w:val="0"/>
                <w:bCs w:val="0"/>
                <w:color w:val="auto"/>
                <w:sz w:val="21"/>
                <w:szCs w:val="21"/>
                <w:highlight w:val="none"/>
                <w:lang w:val="en-US" w:eastAsia="zh-CN"/>
              </w:rPr>
              <w:t>39.25</w:t>
            </w:r>
            <w:r>
              <w:rPr>
                <w:rFonts w:hint="default" w:eastAsia="宋体" w:cs="宋体" w:asciiTheme="minorAscii" w:hAnsiTheme="minorAscii"/>
                <w:b w:val="0"/>
                <w:bCs w:val="0"/>
                <w:color w:val="auto"/>
                <w:sz w:val="21"/>
                <w:szCs w:val="21"/>
                <w:highlight w:val="none"/>
              </w:rPr>
              <w:t>±</w:t>
            </w:r>
            <w:r>
              <w:rPr>
                <w:rFonts w:hint="default" w:eastAsia="宋体" w:cs="宋体" w:asciiTheme="minorAscii" w:hAnsiTheme="minorAscii"/>
                <w:b w:val="0"/>
                <w:bCs w:val="0"/>
                <w:color w:val="auto"/>
                <w:sz w:val="21"/>
                <w:szCs w:val="21"/>
                <w:highlight w:val="none"/>
                <w:lang w:val="en-US" w:eastAsia="zh-CN"/>
              </w:rPr>
              <w:t>12.07</w:t>
            </w:r>
          </w:p>
          <w:p>
            <w:pPr>
              <w:jc w:val="center"/>
              <w:rPr>
                <w:rFonts w:hint="default" w:eastAsia="宋体" w:cs="宋体" w:asciiTheme="minorAscii" w:hAnsiTheme="minorAscii"/>
                <w:b w:val="0"/>
                <w:bCs w:val="0"/>
                <w:color w:val="auto"/>
                <w:sz w:val="21"/>
                <w:szCs w:val="21"/>
                <w:highlight w:val="none"/>
                <w:lang w:val="en-US" w:eastAsia="zh-CN"/>
              </w:rPr>
            </w:pPr>
            <w:r>
              <w:rPr>
                <w:rFonts w:hint="default" w:eastAsia="宋体" w:cs="宋体" w:asciiTheme="minorAscii" w:hAnsiTheme="minorAscii"/>
                <w:b w:val="0"/>
                <w:bCs w:val="0"/>
                <w:color w:val="auto"/>
                <w:sz w:val="21"/>
                <w:szCs w:val="21"/>
                <w:highlight w:val="none"/>
                <w:lang w:val="en-US" w:eastAsia="zh-CN"/>
              </w:rPr>
              <w:t>12.991</w:t>
            </w:r>
          </w:p>
          <w:p>
            <w:pPr>
              <w:jc w:val="center"/>
              <w:rPr>
                <w:rFonts w:hint="default" w:asciiTheme="minorAscii" w:hAnsiTheme="minorAscii"/>
                <w:b w:val="0"/>
                <w:bCs w:val="0"/>
                <w:color w:val="auto"/>
                <w:sz w:val="21"/>
                <w:szCs w:val="21"/>
                <w:highlight w:val="none"/>
              </w:rPr>
            </w:pPr>
            <w:r>
              <w:rPr>
                <w:rFonts w:hint="default" w:eastAsia="宋体" w:cs="宋体" w:asciiTheme="minorAscii" w:hAnsiTheme="minorAscii"/>
                <w:b w:val="0"/>
                <w:bCs w:val="0"/>
                <w:color w:val="auto"/>
                <w:sz w:val="21"/>
                <w:szCs w:val="21"/>
                <w:highlight w:val="none"/>
                <w:lang w:val="en-US" w:eastAsia="zh-CN"/>
              </w:rPr>
              <w:t>0.000</w:t>
            </w:r>
          </w:p>
        </w:tc>
      </w:tr>
    </w:tbl>
    <w:p>
      <w:pPr>
        <w:rPr>
          <w:rFonts w:hint="default" w:asciiTheme="minorAscii" w:hAnsiTheme="minorAscii"/>
          <w:b w:val="0"/>
          <w:bCs w:val="0"/>
          <w:color w:val="auto"/>
          <w:sz w:val="21"/>
          <w:szCs w:val="21"/>
        </w:rPr>
      </w:pPr>
      <w:r>
        <w:rPr>
          <w:rFonts w:hint="default" w:asciiTheme="minorAscii" w:hAnsiTheme="minorAscii"/>
          <w:b w:val="0"/>
          <w:bCs w:val="0"/>
          <w:color w:val="auto"/>
          <w:sz w:val="21"/>
          <w:szCs w:val="21"/>
        </w:rPr>
        <w:t>2.3 Two groups of treatment effects</w:t>
      </w:r>
    </w:p>
    <w:p>
      <w:pPr>
        <w:ind w:firstLine="420" w:firstLineChars="200"/>
        <w:rPr>
          <w:rFonts w:hint="default" w:asciiTheme="minorAscii" w:hAnsiTheme="minorAscii"/>
          <w:b w:val="0"/>
          <w:bCs w:val="0"/>
          <w:color w:val="auto"/>
          <w:sz w:val="21"/>
          <w:szCs w:val="21"/>
        </w:rPr>
      </w:pPr>
      <w:r>
        <w:rPr>
          <w:rFonts w:hint="default" w:asciiTheme="minorAscii" w:hAnsiTheme="minorAscii"/>
          <w:b w:val="0"/>
          <w:bCs w:val="0"/>
          <w:color w:val="auto"/>
          <w:sz w:val="21"/>
          <w:szCs w:val="21"/>
        </w:rPr>
        <w:t>The results of the intervention group on exercise pulse and 6-minute walking distance were significantly higher than those of the control group (P&lt;0.05). as shown in Table 3:</w:t>
      </w:r>
    </w:p>
    <w:p>
      <w:pPr>
        <w:ind w:firstLine="420"/>
        <w:rPr>
          <w:rFonts w:hint="default" w:asciiTheme="minorAscii" w:hAnsiTheme="minorAscii"/>
          <w:b w:val="0"/>
          <w:bCs w:val="0"/>
          <w:color w:val="auto"/>
          <w:sz w:val="21"/>
          <w:szCs w:val="21"/>
        </w:rPr>
      </w:pPr>
      <w:r>
        <w:rPr>
          <w:rFonts w:hint="default" w:asciiTheme="minorAscii" w:hAnsiTheme="minorAscii"/>
          <w:b w:val="0"/>
          <w:bCs w:val="0"/>
          <w:color w:val="auto"/>
          <w:sz w:val="21"/>
          <w:szCs w:val="21"/>
        </w:rPr>
        <w:t>Table 3 Comparison of treatment effects between the two groups (x±s)</w:t>
      </w:r>
    </w:p>
    <w:tbl>
      <w:tblPr>
        <w:tblStyle w:val="2"/>
        <w:tblW w:w="8237" w:type="dxa"/>
        <w:tblInd w:w="0" w:type="dxa"/>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61"/>
        <w:gridCol w:w="1640"/>
        <w:gridCol w:w="2088"/>
        <w:gridCol w:w="1948"/>
      </w:tblGrid>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2561" w:type="dxa"/>
            <w:tcBorders>
              <w:bottom w:val="single" w:color="008000" w:sz="6" w:space="0"/>
            </w:tcBorders>
            <w:noWrap w:val="0"/>
            <w:vAlign w:val="top"/>
          </w:tcPr>
          <w:p>
            <w:pPr>
              <w:jc w:val="both"/>
              <w:rPr>
                <w:rFonts w:hint="default" w:asciiTheme="minorAscii" w:hAnsiTheme="minorAscii"/>
                <w:b w:val="0"/>
                <w:bCs w:val="0"/>
                <w:color w:val="auto"/>
                <w:sz w:val="21"/>
                <w:szCs w:val="21"/>
                <w:highlight w:val="none"/>
              </w:rPr>
            </w:pPr>
            <w:r>
              <w:rPr>
                <w:rFonts w:hint="default" w:asciiTheme="minorAscii" w:hAnsiTheme="minorAscii"/>
                <w:b w:val="0"/>
                <w:bCs w:val="0"/>
                <w:color w:val="auto"/>
                <w:sz w:val="21"/>
                <w:szCs w:val="21"/>
                <w:highlight w:val="none"/>
              </w:rPr>
              <w:t>group</w:t>
            </w:r>
          </w:p>
        </w:tc>
        <w:tc>
          <w:tcPr>
            <w:tcW w:w="1640" w:type="dxa"/>
            <w:tcBorders>
              <w:bottom w:val="single" w:color="008000" w:sz="6" w:space="0"/>
            </w:tcBorders>
            <w:noWrap w:val="0"/>
            <w:vAlign w:val="top"/>
          </w:tcPr>
          <w:p>
            <w:pPr>
              <w:jc w:val="center"/>
              <w:rPr>
                <w:rFonts w:hint="default" w:asciiTheme="minorAscii" w:hAnsiTheme="minorAscii"/>
                <w:b w:val="0"/>
                <w:bCs w:val="0"/>
                <w:color w:val="auto"/>
                <w:sz w:val="21"/>
                <w:szCs w:val="21"/>
                <w:highlight w:val="none"/>
              </w:rPr>
            </w:pPr>
            <w:r>
              <w:rPr>
                <w:rFonts w:hint="default" w:asciiTheme="minorAscii" w:hAnsiTheme="minorAscii"/>
                <w:b w:val="0"/>
                <w:bCs w:val="0"/>
                <w:color w:val="auto"/>
                <w:sz w:val="21"/>
                <w:szCs w:val="21"/>
                <w:highlight w:val="none"/>
              </w:rPr>
              <w:t>Number of cases</w:t>
            </w:r>
          </w:p>
        </w:tc>
        <w:tc>
          <w:tcPr>
            <w:tcW w:w="2088" w:type="dxa"/>
            <w:tcBorders>
              <w:bottom w:val="single" w:color="008000" w:sz="6" w:space="0"/>
            </w:tcBorders>
            <w:noWrap w:val="0"/>
            <w:vAlign w:val="top"/>
          </w:tcPr>
          <w:p>
            <w:pPr>
              <w:jc w:val="center"/>
              <w:rPr>
                <w:rFonts w:hint="default" w:asciiTheme="minorAscii" w:hAnsiTheme="minorAscii"/>
                <w:b w:val="0"/>
                <w:bCs w:val="0"/>
                <w:color w:val="auto"/>
                <w:sz w:val="21"/>
                <w:szCs w:val="21"/>
                <w:highlight w:val="none"/>
              </w:rPr>
            </w:pPr>
            <w:r>
              <w:rPr>
                <w:rFonts w:hint="default" w:asciiTheme="minorAscii" w:hAnsiTheme="minorAscii"/>
                <w:b w:val="0"/>
                <w:bCs w:val="0"/>
                <w:color w:val="auto"/>
                <w:sz w:val="21"/>
                <w:szCs w:val="21"/>
                <w:highlight w:val="none"/>
              </w:rPr>
              <w:t>Exercise pulse (times/min)</w:t>
            </w:r>
          </w:p>
        </w:tc>
        <w:tc>
          <w:tcPr>
            <w:tcW w:w="1948" w:type="dxa"/>
            <w:tcBorders>
              <w:bottom w:val="single" w:color="008000" w:sz="6" w:space="0"/>
            </w:tcBorders>
            <w:noWrap w:val="0"/>
            <w:vAlign w:val="top"/>
          </w:tcPr>
          <w:p>
            <w:pPr>
              <w:jc w:val="both"/>
              <w:rPr>
                <w:rFonts w:hint="default" w:asciiTheme="minorAscii" w:hAnsiTheme="minorAscii"/>
                <w:b w:val="0"/>
                <w:bCs w:val="0"/>
                <w:color w:val="auto"/>
                <w:sz w:val="21"/>
                <w:szCs w:val="21"/>
                <w:highlight w:val="none"/>
              </w:rPr>
            </w:pPr>
            <w:r>
              <w:rPr>
                <w:rFonts w:hint="default" w:asciiTheme="minorAscii" w:hAnsiTheme="minorAscii"/>
                <w:b w:val="0"/>
                <w:bCs w:val="0"/>
                <w:color w:val="auto"/>
                <w:sz w:val="21"/>
                <w:szCs w:val="21"/>
                <w:highlight w:val="none"/>
              </w:rPr>
              <w:t>6</w:t>
            </w:r>
            <w:r>
              <w:rPr>
                <w:rFonts w:hint="eastAsia" w:asciiTheme="minorAscii" w:hAnsiTheme="minorAscii"/>
                <w:b w:val="0"/>
                <w:bCs w:val="0"/>
                <w:color w:val="auto"/>
                <w:sz w:val="21"/>
                <w:szCs w:val="21"/>
                <w:highlight w:val="none"/>
                <w:lang w:val="en-US" w:eastAsia="zh-CN"/>
              </w:rPr>
              <w:t xml:space="preserve"> </w:t>
            </w:r>
            <w:r>
              <w:rPr>
                <w:rFonts w:hint="default" w:asciiTheme="minorAscii" w:hAnsiTheme="minorAscii"/>
                <w:b w:val="0"/>
                <w:bCs w:val="0"/>
                <w:color w:val="auto"/>
                <w:sz w:val="21"/>
                <w:szCs w:val="21"/>
                <w:highlight w:val="none"/>
              </w:rPr>
              <w:t>minute</w:t>
            </w:r>
            <w:r>
              <w:rPr>
                <w:rFonts w:hint="eastAsia" w:asciiTheme="minorAscii" w:hAnsiTheme="minorAscii"/>
                <w:b w:val="0"/>
                <w:bCs w:val="0"/>
                <w:color w:val="auto"/>
                <w:sz w:val="21"/>
                <w:szCs w:val="21"/>
                <w:highlight w:val="none"/>
                <w:lang w:val="en-US" w:eastAsia="zh-CN"/>
              </w:rPr>
              <w:t xml:space="preserve">s </w:t>
            </w:r>
            <w:r>
              <w:rPr>
                <w:rFonts w:hint="default" w:asciiTheme="minorAscii" w:hAnsiTheme="minorAscii"/>
                <w:b w:val="0"/>
                <w:bCs w:val="0"/>
                <w:color w:val="auto"/>
                <w:sz w:val="21"/>
                <w:szCs w:val="21"/>
                <w:highlight w:val="none"/>
              </w:rPr>
              <w:t>walking</w:t>
            </w:r>
            <w:r>
              <w:rPr>
                <w:rFonts w:hint="eastAsia" w:asciiTheme="minorAscii" w:hAnsiTheme="minorAscii"/>
                <w:b w:val="0"/>
                <w:bCs w:val="0"/>
                <w:color w:val="auto"/>
                <w:sz w:val="21"/>
                <w:szCs w:val="21"/>
                <w:highlight w:val="none"/>
                <w:lang w:val="en-US" w:eastAsia="zh-CN"/>
              </w:rPr>
              <w:t xml:space="preserve"> </w:t>
            </w:r>
            <w:r>
              <w:rPr>
                <w:rFonts w:hint="default" w:asciiTheme="minorAscii" w:hAnsiTheme="minorAscii"/>
                <w:b w:val="0"/>
                <w:bCs w:val="0"/>
                <w:color w:val="auto"/>
                <w:sz w:val="21"/>
                <w:szCs w:val="21"/>
                <w:highlight w:val="none"/>
              </w:rPr>
              <w:t>distance (m)</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9" w:hRule="atLeast"/>
        </w:trPr>
        <w:tc>
          <w:tcPr>
            <w:tcW w:w="2561" w:type="dxa"/>
            <w:tcBorders>
              <w:top w:val="single" w:color="008000" w:sz="6" w:space="0"/>
            </w:tcBorders>
            <w:noWrap w:val="0"/>
            <w:vAlign w:val="top"/>
          </w:tcPr>
          <w:p>
            <w:pPr>
              <w:jc w:val="center"/>
              <w:rPr>
                <w:rFonts w:hint="default" w:asciiTheme="minorAscii" w:hAnsiTheme="minorAscii"/>
                <w:b w:val="0"/>
                <w:bCs w:val="0"/>
                <w:color w:val="auto"/>
                <w:sz w:val="21"/>
                <w:szCs w:val="21"/>
                <w:highlight w:val="none"/>
              </w:rPr>
            </w:pPr>
            <w:r>
              <w:rPr>
                <w:rFonts w:hint="default" w:asciiTheme="minorAscii" w:hAnsiTheme="minorAscii"/>
                <w:b w:val="0"/>
                <w:bCs w:val="0"/>
                <w:color w:val="auto"/>
                <w:sz w:val="21"/>
                <w:szCs w:val="21"/>
                <w:highlight w:val="none"/>
              </w:rPr>
              <w:t>Control</w:t>
            </w:r>
            <w:r>
              <w:rPr>
                <w:rFonts w:hint="default" w:asciiTheme="minorAscii" w:hAnsiTheme="minorAscii"/>
                <w:b w:val="0"/>
                <w:bCs w:val="0"/>
                <w:color w:val="auto"/>
                <w:sz w:val="21"/>
                <w:szCs w:val="21"/>
                <w:highlight w:val="none"/>
                <w:lang w:val="en-US" w:eastAsia="zh-CN"/>
              </w:rPr>
              <w:t xml:space="preserve"> </w:t>
            </w:r>
            <w:r>
              <w:rPr>
                <w:rFonts w:hint="default" w:asciiTheme="minorAscii" w:hAnsiTheme="minorAscii"/>
                <w:b w:val="0"/>
                <w:bCs w:val="0"/>
                <w:color w:val="auto"/>
                <w:sz w:val="21"/>
                <w:szCs w:val="21"/>
                <w:highlight w:val="none"/>
              </w:rPr>
              <w:t>group</w:t>
            </w:r>
          </w:p>
          <w:p>
            <w:pPr>
              <w:jc w:val="center"/>
              <w:rPr>
                <w:rFonts w:hint="default" w:asciiTheme="minorAscii" w:hAnsiTheme="minorAscii"/>
                <w:b w:val="0"/>
                <w:bCs w:val="0"/>
                <w:color w:val="auto"/>
                <w:sz w:val="21"/>
                <w:szCs w:val="21"/>
                <w:highlight w:val="none"/>
              </w:rPr>
            </w:pPr>
            <w:r>
              <w:rPr>
                <w:rFonts w:hint="default" w:asciiTheme="minorAscii" w:hAnsiTheme="minorAscii"/>
                <w:b w:val="0"/>
                <w:bCs w:val="0"/>
                <w:color w:val="auto"/>
                <w:sz w:val="21"/>
                <w:szCs w:val="21"/>
                <w:highlight w:val="none"/>
              </w:rPr>
              <w:t>Intervention group</w:t>
            </w:r>
          </w:p>
          <w:p>
            <w:pPr>
              <w:jc w:val="center"/>
              <w:rPr>
                <w:rFonts w:hint="default" w:asciiTheme="minorAscii" w:hAnsiTheme="minorAscii"/>
                <w:b w:val="0"/>
                <w:bCs w:val="0"/>
                <w:color w:val="auto"/>
                <w:sz w:val="21"/>
                <w:szCs w:val="21"/>
                <w:highlight w:val="none"/>
              </w:rPr>
            </w:pPr>
            <w:r>
              <w:rPr>
                <w:rFonts w:hint="default" w:asciiTheme="minorAscii" w:hAnsiTheme="minorAscii"/>
                <w:b w:val="0"/>
                <w:bCs w:val="0"/>
                <w:color w:val="auto"/>
                <w:sz w:val="21"/>
                <w:szCs w:val="21"/>
                <w:highlight w:val="none"/>
              </w:rPr>
              <w:t>t</w:t>
            </w:r>
          </w:p>
          <w:p>
            <w:pPr>
              <w:jc w:val="center"/>
              <w:rPr>
                <w:rFonts w:hint="default" w:asciiTheme="minorAscii" w:hAnsiTheme="minorAscii"/>
                <w:b w:val="0"/>
                <w:bCs w:val="0"/>
                <w:color w:val="auto"/>
                <w:sz w:val="21"/>
                <w:szCs w:val="21"/>
                <w:highlight w:val="none"/>
              </w:rPr>
            </w:pPr>
            <w:r>
              <w:rPr>
                <w:rFonts w:hint="default" w:asciiTheme="minorAscii" w:hAnsiTheme="minorAscii"/>
                <w:b w:val="0"/>
                <w:bCs w:val="0"/>
                <w:color w:val="auto"/>
                <w:sz w:val="21"/>
                <w:szCs w:val="21"/>
                <w:highlight w:val="none"/>
              </w:rPr>
              <w:t>P</w:t>
            </w:r>
          </w:p>
        </w:tc>
        <w:tc>
          <w:tcPr>
            <w:tcW w:w="1640" w:type="dxa"/>
            <w:tcBorders>
              <w:top w:val="single" w:color="008000" w:sz="6" w:space="0"/>
            </w:tcBorders>
            <w:noWrap w:val="0"/>
            <w:vAlign w:val="top"/>
          </w:tcPr>
          <w:p>
            <w:pPr>
              <w:jc w:val="center"/>
              <w:rPr>
                <w:rFonts w:hint="default" w:asciiTheme="minorAscii" w:hAnsiTheme="minorAscii"/>
                <w:b w:val="0"/>
                <w:bCs w:val="0"/>
                <w:color w:val="auto"/>
                <w:sz w:val="21"/>
                <w:szCs w:val="21"/>
                <w:highlight w:val="none"/>
                <w:lang w:val="en-US" w:eastAsia="zh-CN"/>
              </w:rPr>
            </w:pPr>
            <w:r>
              <w:rPr>
                <w:rFonts w:hint="default" w:asciiTheme="minorAscii" w:hAnsiTheme="minorAscii"/>
                <w:b w:val="0"/>
                <w:bCs w:val="0"/>
                <w:color w:val="auto"/>
                <w:sz w:val="21"/>
                <w:szCs w:val="21"/>
                <w:highlight w:val="none"/>
                <w:lang w:val="en-US" w:eastAsia="zh-CN"/>
              </w:rPr>
              <w:t>30</w:t>
            </w:r>
          </w:p>
          <w:p>
            <w:pPr>
              <w:jc w:val="center"/>
              <w:rPr>
                <w:rFonts w:hint="default" w:asciiTheme="minorAscii" w:hAnsiTheme="minorAscii"/>
                <w:b w:val="0"/>
                <w:bCs w:val="0"/>
                <w:color w:val="auto"/>
                <w:sz w:val="21"/>
                <w:szCs w:val="21"/>
                <w:highlight w:val="none"/>
                <w:lang w:val="en-US" w:eastAsia="zh-CN"/>
              </w:rPr>
            </w:pPr>
            <w:r>
              <w:rPr>
                <w:rFonts w:hint="default" w:asciiTheme="minorAscii" w:hAnsiTheme="minorAscii"/>
                <w:b w:val="0"/>
                <w:bCs w:val="0"/>
                <w:color w:val="auto"/>
                <w:sz w:val="21"/>
                <w:szCs w:val="21"/>
                <w:highlight w:val="none"/>
                <w:lang w:val="en-US" w:eastAsia="zh-CN"/>
              </w:rPr>
              <w:t>30</w:t>
            </w:r>
          </w:p>
          <w:p>
            <w:pPr>
              <w:jc w:val="center"/>
              <w:rPr>
                <w:rFonts w:hint="default" w:asciiTheme="minorAscii" w:hAnsiTheme="minorAscii"/>
                <w:b w:val="0"/>
                <w:bCs w:val="0"/>
                <w:color w:val="auto"/>
                <w:sz w:val="21"/>
                <w:szCs w:val="21"/>
                <w:highlight w:val="none"/>
              </w:rPr>
            </w:pPr>
            <w:r>
              <w:rPr>
                <w:rFonts w:hint="default" w:asciiTheme="minorAscii" w:hAnsiTheme="minorAscii"/>
                <w:b w:val="0"/>
                <w:bCs w:val="0"/>
                <w:color w:val="auto"/>
                <w:sz w:val="21"/>
                <w:szCs w:val="21"/>
                <w:highlight w:val="none"/>
              </w:rPr>
              <w:t>/</w:t>
            </w:r>
          </w:p>
          <w:p>
            <w:pPr>
              <w:jc w:val="center"/>
              <w:rPr>
                <w:rFonts w:hint="default" w:asciiTheme="minorAscii" w:hAnsiTheme="minorAscii"/>
                <w:b w:val="0"/>
                <w:bCs w:val="0"/>
                <w:color w:val="auto"/>
                <w:sz w:val="21"/>
                <w:szCs w:val="21"/>
                <w:highlight w:val="none"/>
              </w:rPr>
            </w:pPr>
            <w:r>
              <w:rPr>
                <w:rFonts w:hint="default" w:asciiTheme="minorAscii" w:hAnsiTheme="minorAscii"/>
                <w:b w:val="0"/>
                <w:bCs w:val="0"/>
                <w:color w:val="auto"/>
                <w:sz w:val="21"/>
                <w:szCs w:val="21"/>
                <w:highlight w:val="none"/>
              </w:rPr>
              <w:t>/</w:t>
            </w:r>
          </w:p>
        </w:tc>
        <w:tc>
          <w:tcPr>
            <w:tcW w:w="2088" w:type="dxa"/>
            <w:tcBorders>
              <w:top w:val="single" w:color="008000" w:sz="6" w:space="0"/>
            </w:tcBorders>
            <w:noWrap w:val="0"/>
            <w:vAlign w:val="top"/>
          </w:tcPr>
          <w:p>
            <w:pPr>
              <w:jc w:val="center"/>
              <w:rPr>
                <w:rFonts w:hint="default" w:eastAsia="宋体" w:cs="宋体" w:asciiTheme="minorAscii" w:hAnsiTheme="minorAscii"/>
                <w:b w:val="0"/>
                <w:bCs w:val="0"/>
                <w:color w:val="auto"/>
                <w:sz w:val="21"/>
                <w:szCs w:val="21"/>
                <w:highlight w:val="none"/>
                <w:lang w:val="en-US" w:eastAsia="zh-CN"/>
              </w:rPr>
            </w:pPr>
            <w:r>
              <w:rPr>
                <w:rFonts w:hint="default" w:asciiTheme="minorAscii" w:hAnsiTheme="minorAscii"/>
                <w:b w:val="0"/>
                <w:bCs w:val="0"/>
                <w:color w:val="auto"/>
                <w:sz w:val="21"/>
                <w:szCs w:val="21"/>
                <w:highlight w:val="none"/>
                <w:lang w:val="en-US" w:eastAsia="zh-CN"/>
              </w:rPr>
              <w:t>118.49</w:t>
            </w:r>
            <w:r>
              <w:rPr>
                <w:rFonts w:hint="default" w:eastAsia="宋体" w:cs="宋体" w:asciiTheme="minorAscii" w:hAnsiTheme="minorAscii"/>
                <w:b w:val="0"/>
                <w:bCs w:val="0"/>
                <w:color w:val="auto"/>
                <w:sz w:val="21"/>
                <w:szCs w:val="21"/>
                <w:highlight w:val="none"/>
              </w:rPr>
              <w:t>±</w:t>
            </w:r>
            <w:r>
              <w:rPr>
                <w:rFonts w:hint="default" w:eastAsia="宋体" w:cs="宋体" w:asciiTheme="minorAscii" w:hAnsiTheme="minorAscii"/>
                <w:b w:val="0"/>
                <w:bCs w:val="0"/>
                <w:color w:val="auto"/>
                <w:sz w:val="21"/>
                <w:szCs w:val="21"/>
                <w:highlight w:val="none"/>
                <w:lang w:val="en-US" w:eastAsia="zh-CN"/>
              </w:rPr>
              <w:t>6.82</w:t>
            </w:r>
          </w:p>
          <w:p>
            <w:pPr>
              <w:jc w:val="center"/>
              <w:rPr>
                <w:rFonts w:hint="default" w:eastAsia="宋体" w:cs="宋体" w:asciiTheme="minorAscii" w:hAnsiTheme="minorAscii"/>
                <w:b w:val="0"/>
                <w:bCs w:val="0"/>
                <w:color w:val="auto"/>
                <w:sz w:val="21"/>
                <w:szCs w:val="21"/>
                <w:highlight w:val="none"/>
                <w:lang w:val="en-US" w:eastAsia="zh-CN"/>
              </w:rPr>
            </w:pPr>
            <w:r>
              <w:rPr>
                <w:rFonts w:hint="default" w:asciiTheme="minorAscii" w:hAnsiTheme="minorAscii"/>
                <w:b w:val="0"/>
                <w:bCs w:val="0"/>
                <w:color w:val="auto"/>
                <w:sz w:val="21"/>
                <w:szCs w:val="21"/>
                <w:highlight w:val="none"/>
                <w:lang w:val="en-US" w:eastAsia="zh-CN"/>
              </w:rPr>
              <w:t>140.81</w:t>
            </w:r>
            <w:r>
              <w:rPr>
                <w:rFonts w:hint="default" w:eastAsia="宋体" w:cs="宋体" w:asciiTheme="minorAscii" w:hAnsiTheme="minorAscii"/>
                <w:b w:val="0"/>
                <w:bCs w:val="0"/>
                <w:color w:val="auto"/>
                <w:sz w:val="21"/>
                <w:szCs w:val="21"/>
                <w:highlight w:val="none"/>
              </w:rPr>
              <w:t>±</w:t>
            </w:r>
            <w:r>
              <w:rPr>
                <w:rFonts w:hint="default" w:eastAsia="宋体" w:cs="宋体" w:asciiTheme="minorAscii" w:hAnsiTheme="minorAscii"/>
                <w:b w:val="0"/>
                <w:bCs w:val="0"/>
                <w:color w:val="auto"/>
                <w:sz w:val="21"/>
                <w:szCs w:val="21"/>
                <w:highlight w:val="none"/>
                <w:lang w:val="en-US" w:eastAsia="zh-CN"/>
              </w:rPr>
              <w:t>7.96</w:t>
            </w:r>
          </w:p>
          <w:p>
            <w:pPr>
              <w:jc w:val="center"/>
              <w:rPr>
                <w:rFonts w:hint="default" w:asciiTheme="minorAscii" w:hAnsiTheme="minorAscii"/>
                <w:b w:val="0"/>
                <w:bCs w:val="0"/>
                <w:color w:val="auto"/>
                <w:sz w:val="21"/>
                <w:szCs w:val="21"/>
                <w:highlight w:val="none"/>
              </w:rPr>
            </w:pPr>
            <w:r>
              <w:rPr>
                <w:rFonts w:hint="default" w:asciiTheme="minorAscii" w:hAnsiTheme="minorAscii"/>
                <w:b w:val="0"/>
                <w:bCs w:val="0"/>
                <w:color w:val="auto"/>
                <w:sz w:val="21"/>
                <w:szCs w:val="21"/>
                <w:highlight w:val="none"/>
              </w:rPr>
              <w:t>11.485</w:t>
            </w:r>
          </w:p>
          <w:p>
            <w:pPr>
              <w:jc w:val="center"/>
              <w:rPr>
                <w:rFonts w:hint="default" w:asciiTheme="minorAscii" w:hAnsiTheme="minorAscii"/>
                <w:b w:val="0"/>
                <w:bCs w:val="0"/>
                <w:color w:val="auto"/>
                <w:sz w:val="21"/>
                <w:szCs w:val="21"/>
                <w:highlight w:val="none"/>
              </w:rPr>
            </w:pPr>
            <w:r>
              <w:rPr>
                <w:rFonts w:hint="default" w:asciiTheme="minorAscii" w:hAnsiTheme="minorAscii"/>
                <w:b w:val="0"/>
                <w:bCs w:val="0"/>
                <w:color w:val="auto"/>
                <w:sz w:val="21"/>
                <w:szCs w:val="21"/>
                <w:highlight w:val="none"/>
              </w:rPr>
              <w:t>0.002</w:t>
            </w:r>
          </w:p>
        </w:tc>
        <w:tc>
          <w:tcPr>
            <w:tcW w:w="1948" w:type="dxa"/>
            <w:tcBorders>
              <w:top w:val="single" w:color="008000" w:sz="6" w:space="0"/>
            </w:tcBorders>
            <w:noWrap w:val="0"/>
            <w:vAlign w:val="top"/>
          </w:tcPr>
          <w:p>
            <w:pPr>
              <w:jc w:val="center"/>
              <w:rPr>
                <w:rFonts w:hint="default" w:eastAsia="宋体" w:cs="宋体" w:asciiTheme="minorAscii" w:hAnsiTheme="minorAscii"/>
                <w:b w:val="0"/>
                <w:bCs w:val="0"/>
                <w:color w:val="auto"/>
                <w:sz w:val="21"/>
                <w:szCs w:val="21"/>
                <w:highlight w:val="none"/>
                <w:lang w:val="en-US" w:eastAsia="zh-CN"/>
              </w:rPr>
            </w:pPr>
            <w:r>
              <w:rPr>
                <w:rFonts w:hint="default" w:eastAsia="宋体" w:cs="宋体" w:asciiTheme="minorAscii" w:hAnsiTheme="minorAscii"/>
                <w:b w:val="0"/>
                <w:bCs w:val="0"/>
                <w:color w:val="auto"/>
                <w:sz w:val="21"/>
                <w:szCs w:val="21"/>
                <w:highlight w:val="none"/>
                <w:lang w:val="en-US" w:eastAsia="zh-CN"/>
              </w:rPr>
              <w:t>384.57</w:t>
            </w:r>
            <w:r>
              <w:rPr>
                <w:rFonts w:hint="default" w:eastAsia="宋体" w:cs="宋体" w:asciiTheme="minorAscii" w:hAnsiTheme="minorAscii"/>
                <w:b w:val="0"/>
                <w:bCs w:val="0"/>
                <w:color w:val="auto"/>
                <w:sz w:val="21"/>
                <w:szCs w:val="21"/>
                <w:highlight w:val="none"/>
              </w:rPr>
              <w:t>±</w:t>
            </w:r>
            <w:r>
              <w:rPr>
                <w:rFonts w:hint="default" w:eastAsia="宋体" w:cs="宋体" w:asciiTheme="minorAscii" w:hAnsiTheme="minorAscii"/>
                <w:b w:val="0"/>
                <w:bCs w:val="0"/>
                <w:color w:val="auto"/>
                <w:sz w:val="21"/>
                <w:szCs w:val="21"/>
                <w:highlight w:val="none"/>
                <w:lang w:val="en-US" w:eastAsia="zh-CN"/>
              </w:rPr>
              <w:t>3.65</w:t>
            </w:r>
          </w:p>
          <w:p>
            <w:pPr>
              <w:jc w:val="center"/>
              <w:rPr>
                <w:rFonts w:hint="default" w:eastAsia="宋体" w:cs="宋体" w:asciiTheme="minorAscii" w:hAnsiTheme="minorAscii"/>
                <w:b w:val="0"/>
                <w:bCs w:val="0"/>
                <w:color w:val="auto"/>
                <w:sz w:val="21"/>
                <w:szCs w:val="21"/>
                <w:highlight w:val="none"/>
                <w:lang w:val="en-US" w:eastAsia="zh-CN"/>
              </w:rPr>
            </w:pPr>
            <w:r>
              <w:rPr>
                <w:rFonts w:hint="default" w:eastAsia="宋体" w:cs="宋体" w:asciiTheme="minorAscii" w:hAnsiTheme="minorAscii"/>
                <w:b w:val="0"/>
                <w:bCs w:val="0"/>
                <w:color w:val="auto"/>
                <w:sz w:val="21"/>
                <w:szCs w:val="21"/>
                <w:highlight w:val="none"/>
                <w:lang w:val="en-US" w:eastAsia="zh-CN"/>
              </w:rPr>
              <w:t>457.29</w:t>
            </w:r>
            <w:r>
              <w:rPr>
                <w:rFonts w:hint="default" w:eastAsia="宋体" w:cs="宋体" w:asciiTheme="minorAscii" w:hAnsiTheme="minorAscii"/>
                <w:b w:val="0"/>
                <w:bCs w:val="0"/>
                <w:color w:val="auto"/>
                <w:sz w:val="21"/>
                <w:szCs w:val="21"/>
                <w:highlight w:val="none"/>
              </w:rPr>
              <w:t>±</w:t>
            </w:r>
            <w:r>
              <w:rPr>
                <w:rFonts w:hint="default" w:eastAsia="宋体" w:cs="宋体" w:asciiTheme="minorAscii" w:hAnsiTheme="minorAscii"/>
                <w:b w:val="0"/>
                <w:bCs w:val="0"/>
                <w:color w:val="auto"/>
                <w:sz w:val="21"/>
                <w:szCs w:val="21"/>
                <w:highlight w:val="none"/>
                <w:lang w:val="en-US" w:eastAsia="zh-CN"/>
              </w:rPr>
              <w:t>2.43</w:t>
            </w:r>
          </w:p>
          <w:p>
            <w:pPr>
              <w:jc w:val="center"/>
              <w:rPr>
                <w:rFonts w:hint="default" w:eastAsia="宋体" w:cs="宋体" w:asciiTheme="minorAscii" w:hAnsiTheme="minorAscii"/>
                <w:b w:val="0"/>
                <w:bCs w:val="0"/>
                <w:color w:val="auto"/>
                <w:sz w:val="21"/>
                <w:szCs w:val="21"/>
                <w:highlight w:val="none"/>
                <w:lang w:val="en-US" w:eastAsia="zh-CN"/>
              </w:rPr>
            </w:pPr>
            <w:r>
              <w:rPr>
                <w:rFonts w:hint="default" w:eastAsia="宋体" w:cs="宋体" w:asciiTheme="minorAscii" w:hAnsiTheme="minorAscii"/>
                <w:b w:val="0"/>
                <w:bCs w:val="0"/>
                <w:color w:val="auto"/>
                <w:sz w:val="21"/>
                <w:szCs w:val="21"/>
                <w:highlight w:val="none"/>
                <w:lang w:val="en-US" w:eastAsia="zh-CN"/>
              </w:rPr>
              <w:t>87.309</w:t>
            </w:r>
          </w:p>
          <w:p>
            <w:pPr>
              <w:jc w:val="center"/>
              <w:rPr>
                <w:rFonts w:hint="default" w:eastAsia="宋体" w:cs="宋体" w:asciiTheme="minorAscii" w:hAnsiTheme="minorAscii"/>
                <w:b w:val="0"/>
                <w:bCs w:val="0"/>
                <w:color w:val="auto"/>
                <w:sz w:val="21"/>
                <w:szCs w:val="21"/>
                <w:highlight w:val="none"/>
                <w:lang w:val="en-US" w:eastAsia="zh-CN"/>
              </w:rPr>
            </w:pPr>
            <w:r>
              <w:rPr>
                <w:rFonts w:hint="default" w:eastAsia="宋体" w:cs="宋体" w:asciiTheme="minorAscii" w:hAnsiTheme="minorAscii"/>
                <w:b w:val="0"/>
                <w:bCs w:val="0"/>
                <w:color w:val="auto"/>
                <w:sz w:val="21"/>
                <w:szCs w:val="21"/>
                <w:highlight w:val="none"/>
                <w:lang w:val="en-US" w:eastAsia="zh-CN"/>
              </w:rPr>
              <w:t>0.000</w:t>
            </w:r>
          </w:p>
          <w:p>
            <w:pPr>
              <w:jc w:val="center"/>
              <w:rPr>
                <w:rFonts w:hint="default" w:asciiTheme="minorAscii" w:hAnsiTheme="minorAscii"/>
                <w:b w:val="0"/>
                <w:bCs w:val="0"/>
                <w:color w:val="auto"/>
                <w:sz w:val="21"/>
                <w:szCs w:val="21"/>
                <w:highlight w:val="none"/>
              </w:rPr>
            </w:pPr>
          </w:p>
        </w:tc>
      </w:tr>
    </w:tbl>
    <w:p>
      <w:pPr>
        <w:rPr>
          <w:rFonts w:hint="eastAsia"/>
          <w:color w:val="auto"/>
        </w:rPr>
      </w:pPr>
      <w:r>
        <w:rPr>
          <w:rFonts w:hint="eastAsia"/>
          <w:color w:val="auto"/>
        </w:rPr>
        <w:t xml:space="preserve">3 </w:t>
      </w:r>
      <w:r>
        <w:rPr>
          <w:rFonts w:hint="eastAsia"/>
          <w:color w:val="auto"/>
          <w:lang w:val="en-US" w:eastAsia="zh-CN"/>
        </w:rPr>
        <w:t>.</w:t>
      </w:r>
      <w:r>
        <w:rPr>
          <w:rFonts w:hint="eastAsia"/>
          <w:color w:val="auto"/>
        </w:rPr>
        <w:t>Discussion</w:t>
      </w:r>
    </w:p>
    <w:p>
      <w:pPr>
        <w:ind w:firstLine="420" w:firstLineChars="200"/>
        <w:rPr>
          <w:rFonts w:hint="eastAsia"/>
          <w:color w:val="auto"/>
        </w:rPr>
      </w:pPr>
      <w:r>
        <w:rPr>
          <w:rFonts w:hint="eastAsia"/>
          <w:color w:val="auto"/>
        </w:rPr>
        <w:t>The combination of high-quality nursing care and breathing exercises has played a prominent role in the clinical application of COPD patients, which has been fully confirmed in the above-mentioned studies in Table 1, Table 2, and Table 3.</w:t>
      </w:r>
    </w:p>
    <w:p>
      <w:pPr>
        <w:ind w:firstLine="420" w:firstLineChars="200"/>
        <w:rPr>
          <w:rFonts w:hint="eastAsia"/>
          <w:color w:val="auto"/>
        </w:rPr>
      </w:pPr>
      <w:r>
        <w:rPr>
          <w:rFonts w:hint="eastAsia"/>
          <w:color w:val="auto"/>
        </w:rPr>
        <w:t>The research results of previous studies on this topic further show that the standing Baduanjin exercise applied to patients with stable COPD can improve their lung function, reduce clinical symptoms, improve mobility and quality of life; especially after 6 months of intervention, FEV1 , FVC, FEV1/FVC, FEV1% level, 6 min walking distance, sputum expectoration, dyspnea, housework, energy, total score of CAT, difference in activity ability, symptoms, life impact, quality of life total score after 6 months of intervention Outstanding (P&lt;0.05)</w:t>
      </w:r>
      <w:r>
        <w:rPr>
          <w:rFonts w:hint="eastAsia"/>
          <w:color w:val="auto"/>
          <w:vertAlign w:val="superscript"/>
        </w:rPr>
        <w:t xml:space="preserve"> [4]</w:t>
      </w:r>
      <w:r>
        <w:rPr>
          <w:rFonts w:hint="eastAsia"/>
          <w:color w:val="auto"/>
        </w:rPr>
        <w:t>. Nursing follow-up for patients with chronic obstructive pulmonary disease can improve health behaviors and effectively improve lung function; especially in FEV1(L) and PEF, it has more application value, and it can also improve patients' respiratory function training, smoking cessation, physical exercise, nutrition supply, etc. Health behaviors have been significantly improved (P&lt;0.05)</w:t>
      </w:r>
      <w:r>
        <w:rPr>
          <w:rFonts w:hint="eastAsia"/>
          <w:color w:val="auto"/>
          <w:vertAlign w:val="superscript"/>
        </w:rPr>
        <w:t xml:space="preserve"> [5]</w:t>
      </w:r>
      <w:r>
        <w:rPr>
          <w:rFonts w:hint="eastAsia"/>
          <w:color w:val="auto"/>
        </w:rPr>
        <w:t xml:space="preserve">. Multiple methods such as breathing exercises and diet care can effectively improve the adverse symptoms of patients with COPD and promote the recovery of the disease as soon as possible; especially in the overall effect of the patient's psychological, physical, and social functions; it has a significant effect on the comparison of ventilation function and hospital recovery time (P&lt;0.05) </w:t>
      </w:r>
      <w:r>
        <w:rPr>
          <w:rFonts w:hint="eastAsia"/>
          <w:color w:val="auto"/>
          <w:vertAlign w:val="superscript"/>
        </w:rPr>
        <w:t>[6]</w:t>
      </w:r>
      <w:r>
        <w:rPr>
          <w:rFonts w:hint="eastAsia"/>
          <w:color w:val="auto"/>
          <w:vertAlign w:val="baseline"/>
        </w:rPr>
        <w:t>.</w:t>
      </w:r>
    </w:p>
    <w:p>
      <w:pPr>
        <w:ind w:firstLine="420" w:firstLineChars="200"/>
        <w:rPr>
          <w:rFonts w:hint="eastAsia"/>
          <w:color w:val="auto"/>
        </w:rPr>
      </w:pPr>
      <w:r>
        <w:rPr>
          <w:rFonts w:hint="eastAsia"/>
          <w:color w:val="auto"/>
        </w:rPr>
        <w:t>In general, improve the high-quality nursing service management system, and actively provide patients with high-quality nursing services through disease observation, life care, health education, etc.; implement continuous scheduling and flexible scheduling to reduce the number of shifts and ensure patients Get continuous, full, and efficient care; it also provides the possibility to improve the enthusiasm of patient caregivers; breathing function exercise can improve the prognosis of patients and enhance the effect of disease control.</w:t>
      </w:r>
    </w:p>
    <w:p>
      <w:pPr>
        <w:rPr>
          <w:rFonts w:hint="eastAsia"/>
          <w:color w:val="auto"/>
        </w:rPr>
      </w:pPr>
      <w:r>
        <w:rPr>
          <w:rFonts w:hint="eastAsia"/>
          <w:color w:val="auto"/>
        </w:rPr>
        <w:t xml:space="preserve">    To sum up, the combination of high-quality care and breathing exercises has outstanding disease controllability rates for COPD patients, especially in improving the lung function of patients and the level of care, which can be used as a follow-up clinical treatment and nursing practice for patients. Feasible measures should be promoted and implemented.</w:t>
      </w:r>
    </w:p>
    <w:p>
      <w:pPr>
        <w:rPr>
          <w:rFonts w:hint="eastAsia"/>
          <w:color w:val="auto"/>
        </w:rPr>
      </w:pPr>
      <w:bookmarkStart w:id="0" w:name="_GoBack"/>
      <w:r>
        <w:rPr>
          <w:rFonts w:hint="eastAsia"/>
          <w:color w:val="auto"/>
        </w:rPr>
        <w:t>【</w:t>
      </w:r>
      <w:r>
        <w:rPr>
          <w:rFonts w:hint="eastAsia"/>
          <w:color w:val="auto"/>
          <w:lang w:val="en-US" w:eastAsia="zh-CN"/>
        </w:rPr>
        <w:t>R</w:t>
      </w:r>
      <w:r>
        <w:rPr>
          <w:rFonts w:hint="eastAsia"/>
          <w:color w:val="auto"/>
        </w:rPr>
        <w:t>eferences】</w:t>
      </w:r>
    </w:p>
    <w:p>
      <w:pPr>
        <w:rPr>
          <w:rFonts w:hint="eastAsia"/>
          <w:color w:val="auto"/>
        </w:rPr>
      </w:pPr>
      <w:r>
        <w:rPr>
          <w:rFonts w:hint="eastAsia"/>
          <w:color w:val="auto"/>
        </w:rPr>
        <w:t>[1] Xie Yuhua. Analysis of the impact of high-quality nursing on lung function and quality of life in elderly patients with chronic obstructive pulmonary disease[J]. Chinese and Foreign Medical Research, 2018, 16(18): 74-76.</w:t>
      </w:r>
    </w:p>
    <w:p>
      <w:pPr>
        <w:rPr>
          <w:rFonts w:hint="eastAsia"/>
          <w:color w:val="auto"/>
        </w:rPr>
      </w:pPr>
      <w:r>
        <w:rPr>
          <w:rFonts w:hint="eastAsia"/>
          <w:color w:val="auto"/>
        </w:rPr>
        <w:t>[2] Rao Shan. The clinical nursing value of respiratory function exercise combined with diet nursing in patients with chronic obstructive pulmonary disease[J]. Kang Yi, 2021(11):97.</w:t>
      </w:r>
    </w:p>
    <w:p>
      <w:pPr>
        <w:rPr>
          <w:rFonts w:hint="eastAsia"/>
          <w:color w:val="auto"/>
        </w:rPr>
      </w:pPr>
      <w:r>
        <w:rPr>
          <w:rFonts w:hint="eastAsia"/>
          <w:color w:val="auto"/>
        </w:rPr>
        <w:t>[3] Huang Anhu, Xu Jiao, Jin Longju. Analysis of the nursing effect of the health belief model applied to elderly patients with stable chronic obstructive pulmonary disease[J]. Chinese and Foreign Medicine, 2021, 40(5): 128-131.</w:t>
      </w:r>
    </w:p>
    <w:p>
      <w:pPr>
        <w:rPr>
          <w:rFonts w:hint="eastAsia"/>
          <w:color w:val="auto"/>
        </w:rPr>
      </w:pPr>
      <w:r>
        <w:rPr>
          <w:rFonts w:hint="eastAsia"/>
          <w:color w:val="auto"/>
        </w:rPr>
        <w:t>[4] Yu Ping, Jiang Xiufeng. Analysis of the effect of standing Baduanjin exercise in patients with stable COPD[J]. International Journal of Nursing, 2021, 40(3):493-496.</w:t>
      </w:r>
    </w:p>
    <w:p>
      <w:pPr>
        <w:rPr>
          <w:rFonts w:hint="eastAsia"/>
          <w:color w:val="auto"/>
        </w:rPr>
      </w:pPr>
      <w:r>
        <w:rPr>
          <w:rFonts w:hint="eastAsia"/>
          <w:color w:val="auto"/>
        </w:rPr>
        <w:t>[5] Zhang Lianying. The effect of nursing follow-up on the health behavior and lung function of patients with chronic obstructive pulmonary disease[J]. Family medicine. Seeking medicine, 2020(6):327.</w:t>
      </w:r>
    </w:p>
    <w:p>
      <w:pPr>
        <w:rPr>
          <w:rFonts w:hint="eastAsia"/>
          <w:color w:val="auto"/>
        </w:rPr>
      </w:pPr>
      <w:r>
        <w:rPr>
          <w:rFonts w:hint="eastAsia"/>
          <w:color w:val="auto"/>
        </w:rPr>
        <w:t>[6] Shao Changfeng. Application of lip-shrinking abdominal breathing combined with vertical breathing exercises in the community nursing of patients with chronic obstructive pulmonary disease[J]. Friends of Health, 2020(24):10.</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0C4DC9"/>
    <w:rsid w:val="06C77846"/>
    <w:rsid w:val="07A633F3"/>
    <w:rsid w:val="232E5B00"/>
    <w:rsid w:val="330C4DC9"/>
    <w:rsid w:val="3B951D61"/>
    <w:rsid w:val="433D41DB"/>
    <w:rsid w:val="4E8D2CD5"/>
    <w:rsid w:val="5A0A4F46"/>
    <w:rsid w:val="628B46A2"/>
    <w:rsid w:val="6E003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2021-09-01T01:47:00Z</dcterms:created>
  <dc:creator>Administrator</dc:creator>
  <cp:lastModifiedBy>依霆&amp;ལེ་ཏན</cp:lastModifiedBy>
  <dcterms:modified xsi:type="dcterms:W3CDTF">2021-09-28T03:53:54Z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C1405912F3974590821604EDE1B0BF65</vt:lpwstr>
  </property>
</Properties>
</file>