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AN ALTERNATIVE PROPOSAL FOR FINANCING FOR THE AGRICULTURAL SECTOR. (Agricultural SME's Bonds)</w:t>
      </w:r>
    </w:p>
    <w:p>
      <w:pPr>
        <w:jc w:val="center"/>
        <w:rPr>
          <w:rFonts w:ascii="Times New Roman" w:hAnsi="Times New Roman" w:cs="Times New Roman"/>
          <w:sz w:val="24"/>
          <w:szCs w:val="24"/>
          <w:lang w:val="en-US"/>
        </w:rPr>
      </w:pPr>
      <w:r>
        <w:rPr>
          <w:rFonts w:ascii="Times New Roman" w:hAnsi="Times New Roman" w:cs="Times New Roman"/>
          <w:sz w:val="24"/>
          <w:szCs w:val="24"/>
          <w:lang w:val="en-US"/>
        </w:rPr>
        <w:t>Jose A. Trigueros Pina</w:t>
      </w:r>
    </w:p>
    <w:p>
      <w:pPr>
        <w:jc w:val="center"/>
        <w:rPr>
          <w:rFonts w:ascii="Times New Roman" w:hAnsi="Times New Roman" w:cs="Times New Roman"/>
          <w:sz w:val="15"/>
          <w:szCs w:val="15"/>
          <w:lang w:val="en-US"/>
        </w:rPr>
      </w:pPr>
      <w:r>
        <w:rPr>
          <w:rFonts w:ascii="Times New Roman" w:hAnsi="Times New Roman" w:cs="Times New Roman"/>
          <w:sz w:val="15"/>
          <w:szCs w:val="15"/>
          <w:lang w:val="en-US"/>
        </w:rPr>
        <w:t>Departamento de Economia Financiera y Contabilidad Universidad Miguel Hernandez.</w:t>
      </w:r>
    </w:p>
    <w:p>
      <w:pPr>
        <w:jc w:val="center"/>
        <w:rPr>
          <w:rFonts w:ascii="Times New Roman" w:hAnsi="Times New Roman" w:cs="Times New Roman"/>
          <w:sz w:val="15"/>
          <w:szCs w:val="15"/>
          <w:lang w:val="en-US"/>
        </w:rPr>
      </w:pPr>
      <w:r>
        <w:rPr>
          <w:rFonts w:ascii="Times New Roman" w:hAnsi="Times New Roman" w:cs="Times New Roman"/>
          <w:sz w:val="15"/>
          <w:szCs w:val="15"/>
          <w:lang w:val="en-US"/>
        </w:rPr>
        <w:t>Campus de Elche. Edificio la Galia. Alicante (Spain)</w:t>
      </w:r>
    </w:p>
    <w:p>
      <w:pPr>
        <w:jc w:val="center"/>
        <w:rPr>
          <w:rFonts w:ascii="Times New Roman" w:hAnsi="Times New Roman" w:cs="Times New Roman"/>
          <w:sz w:val="15"/>
          <w:szCs w:val="15"/>
          <w:lang w:val="en-US"/>
        </w:rPr>
      </w:pPr>
      <w:r>
        <w:rPr>
          <w:rFonts w:hint="eastAsia" w:ascii="Times New Roman" w:hAnsi="Times New Roman" w:cs="Times New Roman"/>
          <w:sz w:val="15"/>
          <w:szCs w:val="15"/>
          <w:lang w:val="en-US"/>
        </w:rPr>
        <w:t>ja.trigueros@umh.es</w:t>
      </w:r>
      <w:bookmarkStart w:id="0" w:name="_GoBack"/>
      <w:bookmarkEnd w:id="0"/>
    </w:p>
    <w:p>
      <w:pPr>
        <w:rPr>
          <w:rFonts w:ascii="Times New Roman" w:hAnsi="Times New Roman" w:cs="Times New Roman"/>
          <w:sz w:val="24"/>
          <w:szCs w:val="24"/>
          <w:lang w:val="en-US"/>
        </w:rPr>
      </w:pPr>
    </w:p>
    <w:p>
      <w:pPr>
        <w:rPr>
          <w:rFonts w:ascii="Times New Roman" w:hAnsi="Times New Roman" w:cs="Times New Roman"/>
          <w:b/>
          <w:sz w:val="24"/>
          <w:szCs w:val="24"/>
          <w:lang w:val="en-US"/>
        </w:rPr>
      </w:pPr>
      <w:r>
        <w:rPr>
          <w:rFonts w:ascii="Times New Roman" w:hAnsi="Times New Roman" w:cs="Times New Roman"/>
          <w:b/>
          <w:sz w:val="24"/>
          <w:szCs w:val="24"/>
          <w:lang w:val="en-US"/>
        </w:rPr>
        <w:t>ABSTRACT</w:t>
      </w:r>
    </w:p>
    <w:p>
      <w:pPr>
        <w:rPr>
          <w:rFonts w:ascii="Times New Roman" w:hAnsi="Times New Roman" w:cs="Times New Roman"/>
          <w:sz w:val="24"/>
          <w:szCs w:val="24"/>
          <w:lang w:val="en-US"/>
        </w:rPr>
      </w:pPr>
      <w:r>
        <w:rPr>
          <w:rFonts w:ascii="Times New Roman" w:hAnsi="Times New Roman" w:cs="Times New Roman"/>
          <w:sz w:val="24"/>
          <w:szCs w:val="24"/>
          <w:lang w:val="en-US"/>
        </w:rPr>
        <w:t>In today's environment, where SME´s financing continues to be a serious problem, systems that facilitate non-bank financing models different from traditional ones should be considered. In the present article a model of financing based on bonds for SME´s is proposed, very suitable for the agricultural sector or any group with little access to traditional financing.</w:t>
      </w:r>
    </w:p>
    <w:p>
      <w:pPr>
        <w:rPr>
          <w:rFonts w:ascii="Times New Roman" w:hAnsi="Times New Roman" w:cs="Times New Roman"/>
          <w:sz w:val="24"/>
          <w:szCs w:val="24"/>
          <w:lang w:val="en-US"/>
        </w:rPr>
      </w:pPr>
      <w:r>
        <w:rPr>
          <w:rFonts w:ascii="Times New Roman" w:hAnsi="Times New Roman" w:cs="Times New Roman"/>
          <w:sz w:val="24"/>
          <w:szCs w:val="24"/>
          <w:lang w:val="en-US"/>
        </w:rPr>
        <w:t>To improve the analysis, a fuzzy logic system is proposed that allows the most representative variables to be properly selected and take into account the uncertainty of the environment and the subjectivity of the analysts.</w:t>
      </w:r>
    </w:p>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b/>
          <w:sz w:val="24"/>
          <w:szCs w:val="24"/>
          <w:lang w:val="en-US"/>
        </w:rPr>
        <w:t>KEY WORDS</w:t>
      </w:r>
      <w:r>
        <w:rPr>
          <w:rFonts w:ascii="Times New Roman" w:hAnsi="Times New Roman" w:cs="Times New Roman"/>
          <w:sz w:val="24"/>
          <w:szCs w:val="24"/>
          <w:lang w:val="en-US"/>
        </w:rPr>
        <w:t>: Problematic financing, SME, Agricultural, Bonus, Fuzzy logic, Development aid.</w:t>
      </w:r>
    </w:p>
    <w:p>
      <w:pPr>
        <w:rPr>
          <w:rFonts w:ascii="Times New Roman" w:hAnsi="Times New Roman" w:cs="Times New Roman"/>
          <w:sz w:val="24"/>
          <w:szCs w:val="24"/>
          <w:lang w:val="en-US"/>
        </w:rPr>
      </w:pPr>
    </w:p>
    <w:p>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1.- INTRODUCTION.</w:t>
      </w:r>
    </w:p>
    <w:p>
      <w:pPr>
        <w:rPr>
          <w:rFonts w:ascii="Times New Roman" w:hAnsi="Times New Roman" w:cs="Times New Roman"/>
          <w:sz w:val="24"/>
          <w:szCs w:val="24"/>
          <w:lang w:val="en-US"/>
        </w:rPr>
      </w:pPr>
      <w:r>
        <w:rPr>
          <w:rFonts w:ascii="Times New Roman" w:hAnsi="Times New Roman" w:cs="Times New Roman"/>
          <w:sz w:val="24"/>
          <w:szCs w:val="24"/>
          <w:lang w:val="en-US"/>
        </w:rPr>
        <w:t>It is not difficult to justify the financing problems of the companies, nor a work on it, mainly since the financial crisis broke out in the distant year 2007. Companies and institutions have had to live with an additional problem to the commercial and organizational, the lack of funding to support viable projects.</w:t>
      </w:r>
    </w:p>
    <w:p>
      <w:pPr>
        <w:rPr>
          <w:rFonts w:ascii="Times New Roman" w:hAnsi="Times New Roman" w:cs="Times New Roman"/>
          <w:sz w:val="24"/>
          <w:szCs w:val="24"/>
          <w:lang w:val="en-US"/>
        </w:rPr>
      </w:pPr>
      <w:r>
        <w:rPr>
          <w:rFonts w:ascii="Times New Roman" w:hAnsi="Times New Roman" w:cs="Times New Roman"/>
          <w:sz w:val="24"/>
          <w:szCs w:val="24"/>
          <w:lang w:val="en-US"/>
        </w:rPr>
        <w:t>In addition, this financial crisis, generated another confidence, as toxic financial products such as swaps, clips, preferred, structured, convertible, multi-currency mortgages, ... overshadowed the financial landscape of many companies, especially smaller, sinking confidence in many sectors, as well as consumption and investment.</w:t>
      </w:r>
    </w:p>
    <w:p>
      <w:pPr>
        <w:rPr>
          <w:rFonts w:ascii="Times New Roman" w:hAnsi="Times New Roman" w:cs="Times New Roman"/>
          <w:sz w:val="24"/>
          <w:szCs w:val="24"/>
          <w:lang w:val="en-US"/>
        </w:rPr>
      </w:pPr>
      <w:r>
        <w:rPr>
          <w:rFonts w:ascii="Times New Roman" w:hAnsi="Times New Roman" w:cs="Times New Roman"/>
          <w:sz w:val="24"/>
          <w:szCs w:val="24"/>
          <w:lang w:val="en-US"/>
        </w:rPr>
        <w:t>In these moments of incipient recovery of funding, the scenario continues to be of credit need, both for companies and for citizens.</w:t>
      </w:r>
    </w:p>
    <w:p>
      <w:pPr>
        <w:rPr>
          <w:rFonts w:ascii="Times New Roman" w:hAnsi="Times New Roman" w:cs="Times New Roman"/>
          <w:sz w:val="24"/>
          <w:szCs w:val="24"/>
          <w:lang w:val="en-US"/>
        </w:rPr>
      </w:pPr>
      <w:r>
        <w:rPr>
          <w:rFonts w:ascii="Times New Roman" w:hAnsi="Times New Roman" w:cs="Times New Roman"/>
          <w:sz w:val="24"/>
          <w:szCs w:val="24"/>
          <w:lang w:val="en-US"/>
        </w:rPr>
        <w:t>Meanwhile, banks have tried to undo positions and in this way the money lent to companies and families represents a scant 50%, when in 2007 it was above 67%. At the same time, credit to public administrations has practically doubled in the last ten years throughout the EU, tending to continue growing even more. But the business activity will not recover until the credit flows to companies and individuals, the fearful money meanwhile takes refuge in the public debt. Unfortunately, there are still years of financial restriction that will keep this diabolical circuit in a 'feedback' of precarious employment and a burden for domestic consumption, but it is the painful reality and the change of dependence on financing via banking sector of companies an urgent need that other countries have already undertaken; in Germany only 65% ​​of business financing</w:t>
      </w:r>
      <w:r>
        <w:rPr>
          <w:lang w:val="en-US"/>
        </w:rPr>
        <w:t xml:space="preserve"> </w:t>
      </w:r>
      <w:r>
        <w:rPr>
          <w:rFonts w:ascii="Times New Roman" w:hAnsi="Times New Roman" w:cs="Times New Roman"/>
          <w:sz w:val="24"/>
          <w:szCs w:val="24"/>
          <w:lang w:val="en-US"/>
        </w:rPr>
        <w:t>it comes from banks and in the US a surprising 30%, while in Spain the dependence on bank financing for companies reaches 80%. It is therefore essential that parallel to the efforts to unblock the banking system, work in other directions, as in the United Kingdom, the US or Germany, secondary debt markets have advanced a lot, getting significant amounts of money to finance Business. Thus, the south of Europe fundamentally suffers a great banking dependence.</w:t>
      </w:r>
    </w:p>
    <w:p>
      <w:pPr>
        <w:rPr>
          <w:rFonts w:ascii="Times New Roman" w:hAnsi="Times New Roman" w:cs="Times New Roman"/>
          <w:sz w:val="24"/>
          <w:szCs w:val="24"/>
          <w:lang w:val="en-US"/>
        </w:rPr>
      </w:pPr>
      <w:r>
        <w:rPr>
          <w:rFonts w:ascii="Times New Roman" w:hAnsi="Times New Roman" w:cs="Times New Roman"/>
          <w:sz w:val="24"/>
          <w:szCs w:val="24"/>
          <w:lang w:val="en-US"/>
        </w:rPr>
        <w:t>If we add to this situation the latest cuts in the ECB interest rate, leaving it at the historical minimum of 0%, and the reductions in risk premiums, we enter a scenario of possible credit recovery, redirecting it from the public to the private sector, in the whole EU. But, this road is fast and simple? Would it be the same for all sectors? Unfortunately not, since we run the risk that these new injections of liquidity serve to improve financing, but only part of the economy.</w:t>
      </w:r>
    </w:p>
    <w:p>
      <w:pPr>
        <w:rPr>
          <w:rFonts w:ascii="Times New Roman" w:hAnsi="Times New Roman" w:cs="Times New Roman"/>
          <w:sz w:val="24"/>
          <w:szCs w:val="24"/>
          <w:lang w:val="en-US"/>
        </w:rPr>
      </w:pPr>
      <w:r>
        <w:rPr>
          <w:rFonts w:ascii="Times New Roman" w:hAnsi="Times New Roman" w:cs="Times New Roman"/>
          <w:sz w:val="24"/>
          <w:szCs w:val="24"/>
          <w:lang w:val="en-US"/>
        </w:rPr>
        <w:t>The large corporations have been able to better withstand the crisis, so that size has served as protection, since they have obtained far-reaching options for SMEs, even today.</w:t>
      </w:r>
    </w:p>
    <w:p>
      <w:pPr>
        <w:rPr>
          <w:rFonts w:ascii="Times New Roman" w:hAnsi="Times New Roman" w:cs="Times New Roman"/>
          <w:sz w:val="24"/>
          <w:szCs w:val="24"/>
          <w:lang w:val="en-US"/>
        </w:rPr>
      </w:pPr>
      <w:r>
        <w:rPr>
          <w:rFonts w:ascii="Times New Roman" w:hAnsi="Times New Roman" w:cs="Times New Roman"/>
          <w:sz w:val="24"/>
          <w:szCs w:val="24"/>
          <w:lang w:val="en-US"/>
        </w:rPr>
        <w:t>In this paper we propose a novel formula for access to credit to SMEs, since we can not consider a way out of the real crisis without being reactivated. This leads us to propose an alternative financing proposal, which we think can solve part of the problems mentioned. This option, different from the banking one, that can be applied to any sector, but that in the agricultural case can have a great journey through its characteristics and peculiarities.</w:t>
      </w:r>
    </w:p>
    <w:p>
      <w:pPr>
        <w:rPr>
          <w:rFonts w:ascii="Times New Roman" w:hAnsi="Times New Roman" w:cs="Times New Roman"/>
          <w:sz w:val="24"/>
          <w:szCs w:val="24"/>
          <w:lang w:val="en-US"/>
        </w:rPr>
      </w:pPr>
      <w:r>
        <w:rPr>
          <w:rFonts w:ascii="Times New Roman" w:hAnsi="Times New Roman" w:cs="Times New Roman"/>
          <w:sz w:val="24"/>
          <w:szCs w:val="24"/>
          <w:lang w:val="en-US"/>
        </w:rPr>
        <w:t>As long as the banking dependence is not reduced, the economy will be very weak, and with the current figures it is very difficult, since according to the Association for the Financial Markets in Europe (AFME in English) 86% of the financing is still bank, if we bear in mind that the Capital Markets union should be ready by 2019 in the EU.</w:t>
      </w:r>
    </w:p>
    <w:p>
      <w:pPr>
        <w:rPr>
          <w:rFonts w:ascii="Times New Roman" w:hAnsi="Times New Roman" w:cs="Times New Roman"/>
          <w:sz w:val="24"/>
          <w:szCs w:val="24"/>
          <w:lang w:val="en-US"/>
        </w:rPr>
      </w:pPr>
      <w:r>
        <w:rPr>
          <w:rFonts w:ascii="Times New Roman" w:hAnsi="Times New Roman" w:cs="Times New Roman"/>
          <w:sz w:val="24"/>
          <w:szCs w:val="24"/>
          <w:lang w:val="en-US"/>
        </w:rPr>
        <w:t>Within this situation the agricultural case draws attention, since there is abundant information on financing to companies and SMEs in general, but not on the specific problems of agricultural operations. We have not found studies or concrete information about the difficulties that small agricultural companies have. This lack in a strategic sector is what has motivated us to look for a model that can, at least in part, provide a possible solution to it, allowing access to medium and long-term financing, outside the usual circuits, and that they have access to other larger companies.</w:t>
      </w:r>
    </w:p>
    <w:p>
      <w:pPr>
        <w:rPr>
          <w:rFonts w:ascii="Times New Roman" w:hAnsi="Times New Roman" w:cs="Times New Roman"/>
          <w:sz w:val="24"/>
          <w:szCs w:val="24"/>
          <w:lang w:val="en-US"/>
        </w:rPr>
      </w:pPr>
      <w:r>
        <w:rPr>
          <w:rFonts w:ascii="Times New Roman" w:hAnsi="Times New Roman" w:cs="Times New Roman"/>
          <w:sz w:val="24"/>
          <w:szCs w:val="24"/>
          <w:lang w:val="en-US"/>
        </w:rPr>
        <w:t>We must warn that the proposal we present, although part of a theoretical basis, has its main objective in its practical realization, aspiring not to remain in an academic work, but to provide a financial option to SMEs not only agricultural, but of any sector.</w:t>
      </w:r>
    </w:p>
    <w:p>
      <w:pPr>
        <w:rPr>
          <w:rFonts w:ascii="Times New Roman" w:hAnsi="Times New Roman" w:cs="Times New Roman"/>
          <w:sz w:val="24"/>
          <w:szCs w:val="24"/>
          <w:lang w:val="en-US"/>
        </w:rPr>
      </w:pPr>
      <w:r>
        <w:rPr>
          <w:rFonts w:ascii="Times New Roman" w:hAnsi="Times New Roman" w:cs="Times New Roman"/>
          <w:sz w:val="24"/>
          <w:szCs w:val="24"/>
          <w:lang w:val="en-US"/>
        </w:rPr>
        <w:t>Thus, the main objective of this paper is to propose a bond market model for those situations where it is necessary and to facilitate access to credit in sectors where there are shortcomings in non-bank financing.</w:t>
      </w:r>
    </w:p>
    <w:p>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2.- PROBLEM OF FINANCING.</w:t>
      </w:r>
    </w:p>
    <w:p>
      <w:pPr>
        <w:rPr>
          <w:rFonts w:ascii="Times New Roman" w:hAnsi="Times New Roman" w:cs="Times New Roman"/>
          <w:sz w:val="24"/>
          <w:szCs w:val="24"/>
          <w:lang w:val="en-US"/>
        </w:rPr>
      </w:pPr>
      <w:r>
        <w:rPr>
          <w:rFonts w:ascii="Times New Roman" w:hAnsi="Times New Roman" w:cs="Times New Roman"/>
          <w:sz w:val="24"/>
          <w:szCs w:val="24"/>
          <w:lang w:val="en-US"/>
        </w:rPr>
        <w:t>From the point of view of the financial offer, it has been possible to appreciate how the situation of companies is not easy in relation to their financing. The volume of loans with respect to GDP has declined on average throughout the Euro zone, although with greater intensity, while the cost of financing granted has increased. This fact coexists with the paradox of the increase in public financing, causing a crowding out effect in the private sector.</w:t>
      </w:r>
    </w:p>
    <w:p>
      <w:pPr>
        <w:rPr>
          <w:rFonts w:ascii="Times New Roman" w:hAnsi="Times New Roman" w:cs="Times New Roman"/>
          <w:sz w:val="24"/>
          <w:szCs w:val="24"/>
          <w:lang w:val="en-US"/>
        </w:rPr>
      </w:pPr>
      <w:r>
        <w:rPr>
          <w:rFonts w:ascii="Times New Roman" w:hAnsi="Times New Roman" w:cs="Times New Roman"/>
          <w:sz w:val="24"/>
          <w:szCs w:val="24"/>
          <w:lang w:val="en-US"/>
        </w:rPr>
        <w:t>Faced with this situation, the options are few. Keep trying to get a bank financing that either does not arrive, or comes very expensive and with very complex requirements for SMEs, making business projects unviable, or looking for other possibilities.</w:t>
      </w:r>
    </w:p>
    <w:p>
      <w:pPr>
        <w:rPr>
          <w:rFonts w:ascii="Times New Roman" w:hAnsi="Times New Roman" w:cs="Times New Roman"/>
          <w:sz w:val="24"/>
          <w:szCs w:val="24"/>
          <w:lang w:val="en-US"/>
        </w:rPr>
      </w:pPr>
      <w:r>
        <w:rPr>
          <w:rFonts w:ascii="Times New Roman" w:hAnsi="Times New Roman" w:cs="Times New Roman"/>
          <w:sz w:val="24"/>
          <w:szCs w:val="24"/>
          <w:lang w:val="en-US"/>
        </w:rPr>
        <w:t>Basically, the situation could be summarized in the following points:</w:t>
      </w:r>
    </w:p>
    <w:p>
      <w:pPr>
        <w:rPr>
          <w:rFonts w:ascii="Times New Roman" w:hAnsi="Times New Roman" w:cs="Times New Roman"/>
          <w:sz w:val="24"/>
          <w:szCs w:val="24"/>
          <w:lang w:val="en-US"/>
        </w:rPr>
      </w:pPr>
      <w:r>
        <w:rPr>
          <w:rFonts w:ascii="Times New Roman" w:hAnsi="Times New Roman" w:cs="Times New Roman"/>
          <w:sz w:val="24"/>
          <w:szCs w:val="24"/>
          <w:lang w:val="en-US"/>
        </w:rPr>
        <w:t>- The resources of the bank to invest in companies are applied to very specific projects or to finance the public sector.</w:t>
      </w:r>
    </w:p>
    <w:p>
      <w:pPr>
        <w:rPr>
          <w:rFonts w:ascii="Times New Roman" w:hAnsi="Times New Roman" w:cs="Times New Roman"/>
          <w:sz w:val="24"/>
          <w:szCs w:val="24"/>
          <w:lang w:val="en-US"/>
        </w:rPr>
      </w:pPr>
      <w:r>
        <w:rPr>
          <w:rFonts w:ascii="Times New Roman" w:hAnsi="Times New Roman" w:cs="Times New Roman"/>
          <w:sz w:val="24"/>
          <w:szCs w:val="24"/>
          <w:lang w:val="en-US"/>
        </w:rPr>
        <w:t>- The scarcity of credit and the narrowing of margins make the bank financing conditions, in cost and volume, non-extendable.</w:t>
      </w:r>
    </w:p>
    <w:p>
      <w:pPr>
        <w:rPr>
          <w:rFonts w:ascii="Times New Roman" w:hAnsi="Times New Roman" w:cs="Times New Roman"/>
          <w:sz w:val="24"/>
          <w:szCs w:val="24"/>
          <w:lang w:val="en-US"/>
        </w:rPr>
      </w:pPr>
      <w:r>
        <w:rPr>
          <w:rFonts w:ascii="Times New Roman" w:hAnsi="Times New Roman" w:cs="Times New Roman"/>
          <w:sz w:val="24"/>
          <w:szCs w:val="24"/>
          <w:lang w:val="en-US"/>
        </w:rPr>
        <w:t>- Small and Medium Enterprises have been affected both by changes in regulation (Basel III) and by the "flight to quality" of European banks since the beginning of the crisis1. Therefore, the solvency pressures on banks we think will clearly favor the option of bonds as a financial formula.</w:t>
      </w:r>
    </w:p>
    <w:p>
      <w:pPr>
        <w:rPr>
          <w:rFonts w:ascii="Times New Roman" w:hAnsi="Times New Roman" w:cs="Times New Roman"/>
          <w:sz w:val="24"/>
          <w:szCs w:val="24"/>
          <w:lang w:val="en-US"/>
        </w:rPr>
      </w:pPr>
      <w:r>
        <w:rPr>
          <w:rFonts w:ascii="Times New Roman" w:hAnsi="Times New Roman" w:cs="Times New Roman"/>
          <w:sz w:val="24"/>
          <w:szCs w:val="24"/>
          <w:lang w:val="en-US"/>
        </w:rPr>
        <w:t>- Undoubtedly SMEs represent an important part of employment and the creation of wealth, but their financing conditions have deteriorated in absolute and relative terms compared to large companies.</w:t>
      </w:r>
    </w:p>
    <w:p>
      <w:pPr>
        <w:rPr>
          <w:rFonts w:ascii="Times New Roman" w:hAnsi="Times New Roman" w:cs="Times New Roman"/>
          <w:sz w:val="24"/>
          <w:szCs w:val="24"/>
          <w:lang w:val="en-US"/>
        </w:rPr>
      </w:pPr>
      <w:r>
        <w:rPr>
          <w:rFonts w:ascii="Times New Roman" w:hAnsi="Times New Roman" w:cs="Times New Roman"/>
          <w:sz w:val="24"/>
          <w:szCs w:val="24"/>
          <w:lang w:val="en-US"/>
        </w:rPr>
        <w:t>- Different financial solutions are being discussed or implemented, from public initiatives and private investors to bank financing, market-based financing or securitization.</w:t>
      </w:r>
    </w:p>
    <w:p>
      <w:pPr>
        <w:rPr>
          <w:rFonts w:ascii="Times New Roman" w:hAnsi="Times New Roman" w:cs="Times New Roman"/>
          <w:sz w:val="24"/>
          <w:szCs w:val="24"/>
          <w:lang w:val="en-US"/>
        </w:rPr>
      </w:pPr>
      <w:r>
        <w:rPr>
          <w:rFonts w:ascii="Times New Roman" w:hAnsi="Times New Roman" w:cs="Times New Roman"/>
          <w:sz w:val="24"/>
          <w:szCs w:val="24"/>
          <w:lang w:val="en-US"/>
        </w:rPr>
        <w:t>- Financial entities are beginning to reduce lines and raise costs as indicated by the ECB.</w:t>
      </w:r>
    </w:p>
    <w:p>
      <w:pPr>
        <w:rPr>
          <w:rFonts w:ascii="Times New Roman" w:hAnsi="Times New Roman" w:cs="Times New Roman"/>
          <w:sz w:val="24"/>
          <w:szCs w:val="24"/>
          <w:lang w:val="en-US"/>
        </w:rPr>
      </w:pPr>
      <w:r>
        <w:rPr>
          <w:rFonts w:ascii="Times New Roman" w:hAnsi="Times New Roman" w:cs="Times New Roman"/>
          <w:sz w:val="24"/>
          <w:szCs w:val="24"/>
          <w:lang w:val="en-US"/>
        </w:rPr>
        <w:t> - Companies now finance themselves with their suppliers; and the weakest links fall.</w:t>
      </w:r>
    </w:p>
    <w:p>
      <w:pPr>
        <w:rPr>
          <w:rFonts w:ascii="Times New Roman" w:hAnsi="Times New Roman" w:cs="Times New Roman"/>
          <w:sz w:val="24"/>
          <w:szCs w:val="24"/>
          <w:lang w:val="en-US"/>
        </w:rPr>
      </w:pPr>
      <w:r>
        <w:rPr>
          <w:rFonts w:ascii="Times New Roman" w:hAnsi="Times New Roman" w:cs="Times New Roman"/>
          <w:sz w:val="24"/>
          <w:szCs w:val="24"/>
          <w:lang w:val="en-US"/>
        </w:rPr>
        <w:t>Given these positions, it only fits as a dynamic element, an option that can actively involve both providers of funds, as well as resource applicants, which brings us to the bond market in its aspects of emissions focused on SMEs. that we will address in the next section.</w:t>
      </w:r>
    </w:p>
    <w:p>
      <w:pPr>
        <w:rPr>
          <w:rFonts w:ascii="Times New Roman" w:hAnsi="Times New Roman" w:cs="Times New Roman"/>
          <w:b/>
          <w:sz w:val="24"/>
          <w:szCs w:val="24"/>
          <w:u w:val="single"/>
          <w:lang w:val="en-US"/>
        </w:rPr>
      </w:pPr>
    </w:p>
    <w:p>
      <w:pPr>
        <w:rPr>
          <w:rFonts w:ascii="Times New Roman" w:hAnsi="Times New Roman" w:cs="Times New Roman"/>
          <w:b/>
          <w:sz w:val="24"/>
          <w:szCs w:val="24"/>
          <w:u w:val="single"/>
          <w:lang w:val="en-US"/>
        </w:rPr>
      </w:pPr>
    </w:p>
    <w:p>
      <w:pPr>
        <w:rPr>
          <w:rFonts w:ascii="Times New Roman" w:hAnsi="Times New Roman" w:cs="Times New Roman"/>
          <w:b/>
          <w:sz w:val="24"/>
          <w:szCs w:val="24"/>
          <w:u w:val="single"/>
          <w:lang w:val="en-US"/>
        </w:rPr>
      </w:pPr>
    </w:p>
    <w:p>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3.- THE OPTION OF A BONUS MARKET.</w:t>
      </w:r>
    </w:p>
    <w:p>
      <w:pPr>
        <w:rPr>
          <w:rFonts w:ascii="Times New Roman" w:hAnsi="Times New Roman" w:cs="Times New Roman"/>
          <w:sz w:val="24"/>
          <w:szCs w:val="24"/>
          <w:lang w:val="en-US"/>
        </w:rPr>
      </w:pPr>
      <w:r>
        <w:rPr>
          <w:rFonts w:ascii="Times New Roman" w:hAnsi="Times New Roman" w:cs="Times New Roman"/>
          <w:sz w:val="24"/>
          <w:szCs w:val="24"/>
          <w:lang w:val="en-US"/>
        </w:rPr>
        <w:t>The Bonds are an interesting instrument of alternative financing through Private Placement, which allow obtaining non-bank resources, reducing dependence on financial institutions, diversifying the sources of financing. For the purposes of the objectives of this article we would highlight:</w:t>
      </w:r>
    </w:p>
    <w:p>
      <w:pPr>
        <w:rPr>
          <w:rFonts w:ascii="Times New Roman" w:hAnsi="Times New Roman" w:cs="Times New Roman"/>
          <w:sz w:val="24"/>
          <w:szCs w:val="24"/>
          <w:lang w:val="en-US"/>
        </w:rPr>
      </w:pPr>
      <w:r>
        <w:rPr>
          <w:rFonts w:ascii="Times New Roman" w:hAnsi="Times New Roman" w:cs="Times New Roman"/>
          <w:sz w:val="24"/>
          <w:szCs w:val="24"/>
          <w:lang w:val="en-US"/>
        </w:rPr>
        <w:t>• They are a different system of operation, both in longer terms than the loans (5 to 10 years) and in their scheme, which makes them an interesting support for long-term financing.</w:t>
      </w:r>
    </w:p>
    <w:p>
      <w:pPr>
        <w:rPr>
          <w:rFonts w:ascii="Times New Roman" w:hAnsi="Times New Roman" w:cs="Times New Roman"/>
          <w:sz w:val="24"/>
          <w:szCs w:val="24"/>
          <w:lang w:val="en-US"/>
        </w:rPr>
      </w:pPr>
      <w:r>
        <w:rPr>
          <w:rFonts w:ascii="Times New Roman" w:hAnsi="Times New Roman" w:cs="Times New Roman"/>
          <w:sz w:val="24"/>
          <w:szCs w:val="24"/>
          <w:lang w:val="en-US"/>
        </w:rPr>
        <w:t>• The amounts are normally returned at the end of the period and not periodically, which allows a greater dedication of the financing to the investment, being ideal for the medium and long term.</w:t>
      </w:r>
    </w:p>
    <w:p>
      <w:pPr>
        <w:rPr>
          <w:rFonts w:ascii="Times New Roman" w:hAnsi="Times New Roman" w:cs="Times New Roman"/>
          <w:sz w:val="24"/>
          <w:szCs w:val="24"/>
          <w:lang w:val="en-US"/>
        </w:rPr>
      </w:pPr>
      <w:r>
        <w:rPr>
          <w:rFonts w:ascii="Times New Roman" w:hAnsi="Times New Roman" w:cs="Times New Roman"/>
          <w:sz w:val="24"/>
          <w:szCs w:val="24"/>
          <w:lang w:val="en-US"/>
        </w:rPr>
        <w:t>• There are no Covenants normally, which is a huge advantage given the hardness of them currently by commercial banks.</w:t>
      </w:r>
    </w:p>
    <w:p>
      <w:pPr>
        <w:rPr>
          <w:rFonts w:ascii="Times New Roman" w:hAnsi="Times New Roman" w:cs="Times New Roman"/>
          <w:sz w:val="24"/>
          <w:szCs w:val="24"/>
          <w:lang w:val="en-US"/>
        </w:rPr>
      </w:pPr>
      <w:r>
        <w:rPr>
          <w:rFonts w:ascii="Times New Roman" w:hAnsi="Times New Roman" w:cs="Times New Roman"/>
          <w:sz w:val="24"/>
          <w:szCs w:val="24"/>
          <w:lang w:val="en-US"/>
        </w:rPr>
        <w:t>• They can attract new potential qualified investors: private banking, investment funds and Family Office.</w:t>
      </w:r>
    </w:p>
    <w:p>
      <w:pPr>
        <w:rPr>
          <w:rFonts w:ascii="Times New Roman" w:hAnsi="Times New Roman" w:cs="Times New Roman"/>
          <w:sz w:val="24"/>
          <w:szCs w:val="24"/>
          <w:lang w:val="en-US"/>
        </w:rPr>
      </w:pPr>
      <w:r>
        <w:rPr>
          <w:rFonts w:ascii="Times New Roman" w:hAnsi="Times New Roman" w:cs="Times New Roman"/>
          <w:sz w:val="24"/>
          <w:szCs w:val="24"/>
          <w:lang w:val="en-US"/>
        </w:rPr>
        <w:t>Regarding the strategic interest for the issuer:</w:t>
      </w:r>
    </w:p>
    <w:p>
      <w:pPr>
        <w:rPr>
          <w:rFonts w:ascii="Times New Roman" w:hAnsi="Times New Roman" w:cs="Times New Roman"/>
          <w:sz w:val="24"/>
          <w:szCs w:val="24"/>
          <w:lang w:val="en-US"/>
        </w:rPr>
      </w:pPr>
      <w:r>
        <w:rPr>
          <w:rFonts w:ascii="Times New Roman" w:hAnsi="Times New Roman" w:cs="Times New Roman"/>
          <w:sz w:val="24"/>
          <w:szCs w:val="24"/>
          <w:lang w:val="en-US"/>
        </w:rPr>
        <w:t>• There is no dilution in the case of ordinary bonds.</w:t>
      </w:r>
    </w:p>
    <w:p>
      <w:pPr>
        <w:rPr>
          <w:rFonts w:ascii="Times New Roman" w:hAnsi="Times New Roman" w:cs="Times New Roman"/>
          <w:sz w:val="24"/>
          <w:szCs w:val="24"/>
          <w:lang w:val="en-US"/>
        </w:rPr>
      </w:pPr>
      <w:r>
        <w:rPr>
          <w:rFonts w:ascii="Times New Roman" w:hAnsi="Times New Roman" w:cs="Times New Roman"/>
          <w:sz w:val="24"/>
          <w:szCs w:val="24"/>
          <w:lang w:val="en-US"/>
        </w:rPr>
        <w:t>• It is an instrument that reinforces the visibility of the company and the project to be financed (organized and transparent markets and LP financing). For example, if you enter Euronext, the impact of the company at a global level is much greater than if you only resort to traditional options, usually local, and that do not provide the added value of an organized international market, where potential customers and partners They can make the company visible and be interested in their projects.</w:t>
      </w:r>
    </w:p>
    <w:p>
      <w:pPr>
        <w:rPr>
          <w:rFonts w:ascii="Times New Roman" w:hAnsi="Times New Roman" w:cs="Times New Roman"/>
          <w:sz w:val="24"/>
          <w:szCs w:val="24"/>
          <w:lang w:val="en-US"/>
        </w:rPr>
      </w:pPr>
      <w:r>
        <w:rPr>
          <w:rFonts w:ascii="Times New Roman" w:hAnsi="Times New Roman" w:cs="Times New Roman"/>
          <w:sz w:val="24"/>
          <w:szCs w:val="24"/>
          <w:lang w:val="en-US"/>
        </w:rPr>
        <w:t>In the case of Standard bond issues</w:t>
      </w:r>
    </w:p>
    <w:p>
      <w:pPr>
        <w:rPr>
          <w:rFonts w:ascii="Times New Roman" w:hAnsi="Times New Roman" w:cs="Times New Roman"/>
          <w:sz w:val="24"/>
          <w:szCs w:val="24"/>
          <w:lang w:val="en-US"/>
        </w:rPr>
      </w:pPr>
      <w:r>
        <w:rPr>
          <w:rFonts w:ascii="Times New Roman" w:hAnsi="Times New Roman" w:cs="Times New Roman"/>
          <w:sz w:val="24"/>
          <w:szCs w:val="24"/>
          <w:lang w:val="en-US"/>
        </w:rPr>
        <w:t>• The objective is to have a flexible and transparent instrument for both the issuer and the investor.</w:t>
      </w:r>
    </w:p>
    <w:p>
      <w:pPr>
        <w:rPr>
          <w:rFonts w:ascii="Times New Roman" w:hAnsi="Times New Roman" w:cs="Times New Roman"/>
          <w:sz w:val="24"/>
          <w:szCs w:val="24"/>
          <w:lang w:val="en-US"/>
        </w:rPr>
      </w:pPr>
      <w:r>
        <w:rPr>
          <w:rFonts w:ascii="Times New Roman" w:hAnsi="Times New Roman" w:cs="Times New Roman"/>
          <w:sz w:val="24"/>
          <w:szCs w:val="24"/>
          <w:lang w:val="en-US"/>
        </w:rPr>
        <w:t>• They suppose a form of complementary financing to the traditional one.</w:t>
      </w:r>
    </w:p>
    <w:p>
      <w:pPr>
        <w:rPr>
          <w:rFonts w:ascii="Times New Roman" w:hAnsi="Times New Roman" w:cs="Times New Roman"/>
          <w:sz w:val="24"/>
          <w:szCs w:val="24"/>
          <w:lang w:val="en-US"/>
        </w:rPr>
      </w:pPr>
      <w:r>
        <w:rPr>
          <w:rFonts w:ascii="Times New Roman" w:hAnsi="Times New Roman" w:cs="Times New Roman"/>
          <w:sz w:val="24"/>
          <w:szCs w:val="24"/>
          <w:lang w:val="en-US"/>
        </w:rPr>
        <w:t>• No rating is necessary as a precondition.</w:t>
      </w:r>
    </w:p>
    <w:p>
      <w:pPr>
        <w:rPr>
          <w:rFonts w:ascii="Times New Roman" w:hAnsi="Times New Roman" w:cs="Times New Roman"/>
          <w:sz w:val="24"/>
          <w:szCs w:val="24"/>
          <w:lang w:val="en-US"/>
        </w:rPr>
      </w:pPr>
      <w:r>
        <w:rPr>
          <w:rFonts w:ascii="Times New Roman" w:hAnsi="Times New Roman" w:cs="Times New Roman"/>
          <w:sz w:val="24"/>
          <w:szCs w:val="24"/>
          <w:lang w:val="en-US"/>
        </w:rPr>
        <w:t>• Issuance size with a minimum of around 10 million euros: (Euronext; &lt;10 M €: Alternext and alternative markets, with a minimum of € 5 million).</w:t>
      </w:r>
    </w:p>
    <w:p>
      <w:pPr>
        <w:rPr>
          <w:rFonts w:ascii="Times New Roman" w:hAnsi="Times New Roman" w:cs="Times New Roman"/>
          <w:sz w:val="24"/>
          <w:szCs w:val="24"/>
          <w:lang w:val="en-US"/>
        </w:rPr>
      </w:pPr>
      <w:r>
        <w:rPr>
          <w:rFonts w:ascii="Times New Roman" w:hAnsi="Times New Roman" w:cs="Times New Roman"/>
          <w:sz w:val="24"/>
          <w:szCs w:val="24"/>
          <w:lang w:val="en-US"/>
        </w:rPr>
        <w:t>The validity of this system of non-bank financing is evident with the issuance by the largest low-cost European airline, the Irish Ryanair, which has made its debut in the capital market with the issuance of bonds for 850 million euros at very low prices. competitive The interest on these debt securities is 1.875% and its maturity date has been set at seven years. The lawsuit has had an oversubscription of eight.</w:t>
      </w:r>
    </w:p>
    <w:p>
      <w:pPr>
        <w:rPr>
          <w:rFonts w:ascii="Times New Roman" w:hAnsi="Times New Roman" w:cs="Times New Roman"/>
          <w:sz w:val="24"/>
          <w:szCs w:val="24"/>
          <w:lang w:val="en-US"/>
        </w:rPr>
      </w:pPr>
      <w:r>
        <w:rPr>
          <w:rFonts w:ascii="Times New Roman" w:hAnsi="Times New Roman" w:cs="Times New Roman"/>
          <w:sz w:val="24"/>
          <w:szCs w:val="24"/>
          <w:lang w:val="en-US"/>
        </w:rPr>
        <w:t>But, these options, as we advance in the introductory section, are they within the reach of a small company? And for all sectors? It seems not. SMEs have it tremendously difficult, and within SMEs, the agricultural sector especially.</w:t>
      </w:r>
    </w:p>
    <w:p>
      <w:pPr>
        <w:rPr>
          <w:rFonts w:ascii="Times New Roman" w:hAnsi="Times New Roman" w:cs="Times New Roman"/>
          <w:sz w:val="24"/>
          <w:szCs w:val="24"/>
          <w:lang w:val="en-US"/>
        </w:rPr>
      </w:pPr>
      <w:r>
        <w:rPr>
          <w:rFonts w:ascii="Times New Roman" w:hAnsi="Times New Roman" w:cs="Times New Roman"/>
          <w:sz w:val="24"/>
          <w:szCs w:val="24"/>
          <w:lang w:val="en-US"/>
        </w:rPr>
        <w:t>We think, and experience supports it, that SMEs have been removed from these formulas, and taking into account that they represent 73.9% of the total productive capacity in the EU, as reflected in table 1, We are convinced of the need to provide a model of access to this type of financing.</w:t>
      </w:r>
    </w:p>
    <w:p>
      <w:pPr>
        <w:rPr>
          <w:rFonts w:ascii="Times New Roman" w:hAnsi="Times New Roman" w:cs="Times New Roman"/>
          <w:sz w:val="24"/>
          <w:szCs w:val="24"/>
          <w:lang w:val="en-US"/>
        </w:rPr>
      </w:pPr>
      <w:r>
        <w:rPr>
          <w:rFonts w:ascii="Times New Roman" w:hAnsi="Times New Roman" w:cs="Times New Roman"/>
          <w:sz w:val="24"/>
          <w:szCs w:val="24"/>
          <w:lang w:val="en-US"/>
        </w:rPr>
        <w:t>It is true that the figures we have managed can be very high for most farms, many of them small farms, and this could be a problem to issue these bonds that would provide access to financing. The solution we propose is to syndicate the bonds, grouping small farmers or entrepreneurs, so that each group can subscribe a bond, and between different associations reach the volume of the issue. This is a very important first differentiation.</w:t>
      </w:r>
    </w:p>
    <w:p>
      <w:pPr>
        <w:rPr>
          <w:rFonts w:ascii="Times New Roman" w:hAnsi="Times New Roman" w:cs="Times New Roman"/>
          <w:sz w:val="24"/>
          <w:szCs w:val="24"/>
          <w:lang w:val="en-US"/>
        </w:rPr>
      </w:pPr>
      <w:r>
        <w:rPr>
          <w:rFonts w:ascii="Times New Roman" w:hAnsi="Times New Roman" w:cs="Times New Roman"/>
          <w:sz w:val="24"/>
          <w:szCs w:val="24"/>
          <w:lang w:val="en-US"/>
        </w:rPr>
        <w:t>In this case, the existence of a rigorous analysis committee that assesses the solvency of the members of the aforementioned group is vital. In this line, and in the case of small issuers, which do not have a broad financial department, and are certainly not subject to an audit, it would be interesting for the promoter group to have a team of external auditors to carry out the reviews of the financial data in order to provide them with the necessary guarantees, at the same time unloading the farmer or small entrepreneur from this cost and facilitating their incorporation into the fund.</w:t>
      </w:r>
    </w:p>
    <w:p>
      <w:pPr>
        <w:rPr>
          <w:rFonts w:ascii="Times New Roman" w:hAnsi="Times New Roman" w:cs="Times New Roman"/>
          <w:sz w:val="24"/>
          <w:szCs w:val="24"/>
          <w:lang w:val="en-US"/>
        </w:rPr>
      </w:pPr>
      <w:r>
        <w:rPr>
          <w:rFonts w:ascii="Times New Roman" w:hAnsi="Times New Roman" w:cs="Times New Roman"/>
          <w:sz w:val="24"/>
          <w:szCs w:val="24"/>
          <w:lang w:val="en-US"/>
        </w:rPr>
        <w:t>One possible criticism of this proposal is why it is not channeled through an existing market. The answer is that unquoted SMEs do not have access to the bond market, or practically restricted, so the option of mutualizing risk and bonds in a common fund is the most viable for all purposes. A specific option could be:</w:t>
      </w:r>
    </w:p>
    <w:p>
      <w:pPr>
        <w:rPr>
          <w:rFonts w:ascii="Times New Roman" w:hAnsi="Times New Roman" w:cs="Times New Roman"/>
          <w:sz w:val="24"/>
          <w:szCs w:val="24"/>
          <w:lang w:val="en-US"/>
        </w:rPr>
      </w:pPr>
      <w:r>
        <w:rPr>
          <w:rFonts w:ascii="Times New Roman" w:hAnsi="Times New Roman" w:cs="Times New Roman"/>
          <w:sz w:val="24"/>
          <w:szCs w:val="24"/>
          <w:lang w:val="en-US"/>
        </w:rPr>
        <w:t>- A fund with initial capital is established, whose corporate purpose is the development of a bond fund for SMEs in the agricultural sector.</w:t>
      </w:r>
    </w:p>
    <w:p>
      <w:pPr>
        <w:rPr>
          <w:rFonts w:ascii="Times New Roman" w:hAnsi="Times New Roman" w:cs="Times New Roman"/>
          <w:sz w:val="24"/>
          <w:szCs w:val="24"/>
          <w:lang w:val="en-US"/>
        </w:rPr>
      </w:pPr>
      <w:r>
        <w:rPr>
          <w:rFonts w:ascii="Times New Roman" w:hAnsi="Times New Roman" w:cs="Times New Roman"/>
          <w:sz w:val="24"/>
          <w:szCs w:val="24"/>
          <w:lang w:val="en-US"/>
        </w:rPr>
        <w:t>- The companies request their incorporation to said fund, providing the documentation requested by the analysis team.</w:t>
      </w:r>
    </w:p>
    <w:p>
      <w:pPr>
        <w:rPr>
          <w:rFonts w:ascii="Times New Roman" w:hAnsi="Times New Roman" w:cs="Times New Roman"/>
          <w:sz w:val="24"/>
          <w:szCs w:val="24"/>
          <w:lang w:val="en-US"/>
        </w:rPr>
      </w:pPr>
      <w:r>
        <w:rPr>
          <w:rFonts w:ascii="Times New Roman" w:hAnsi="Times New Roman" w:cs="Times New Roman"/>
          <w:sz w:val="24"/>
          <w:szCs w:val="24"/>
          <w:lang w:val="en-US"/>
        </w:rPr>
        <w:t>- Accepted companies issue bonds individually subscribed by the fund itself, which is the one who gets the rating. This is another of the fundamental differences with respect to existing models.</w:t>
      </w:r>
    </w:p>
    <w:p>
      <w:pPr>
        <w:rPr>
          <w:rFonts w:ascii="Times New Roman" w:hAnsi="Times New Roman" w:cs="Times New Roman"/>
          <w:sz w:val="24"/>
          <w:szCs w:val="24"/>
          <w:lang w:val="en-US"/>
        </w:rPr>
      </w:pPr>
      <w:r>
        <w:rPr>
          <w:rFonts w:ascii="Times New Roman" w:hAnsi="Times New Roman" w:cs="Times New Roman"/>
          <w:sz w:val="24"/>
          <w:szCs w:val="24"/>
          <w:lang w:val="en-US"/>
        </w:rPr>
        <w:t>- The fund in turn invests in a fixed income percentage, and in public debt or large companies, in a way that guarantees solvency.</w:t>
      </w:r>
    </w:p>
    <w:p>
      <w:pPr>
        <w:rPr>
          <w:rFonts w:ascii="Times New Roman" w:hAnsi="Times New Roman" w:cs="Times New Roman"/>
          <w:sz w:val="24"/>
          <w:szCs w:val="24"/>
          <w:lang w:val="en-US"/>
        </w:rPr>
      </w:pPr>
      <w:r>
        <w:rPr>
          <w:rFonts w:ascii="Times New Roman" w:hAnsi="Times New Roman" w:cs="Times New Roman"/>
          <w:sz w:val="24"/>
          <w:szCs w:val="24"/>
          <w:lang w:val="en-US"/>
        </w:rPr>
        <w:t>- The fund is financed through bond issues in Euronext / Alternext aimed at institutional investors.</w:t>
      </w:r>
    </w:p>
    <w:p>
      <w:pPr>
        <w:rPr>
          <w:rFonts w:ascii="Times New Roman" w:hAnsi="Times New Roman" w:cs="Times New Roman"/>
          <w:sz w:val="24"/>
          <w:szCs w:val="24"/>
          <w:lang w:val="en-US"/>
        </w:rPr>
      </w:pPr>
      <w:r>
        <w:rPr>
          <w:rFonts w:ascii="Times New Roman" w:hAnsi="Times New Roman" w:cs="Times New Roman"/>
          <w:sz w:val="24"/>
          <w:szCs w:val="24"/>
          <w:lang w:val="en-US"/>
        </w:rPr>
        <w:t>- The emission differential that may exist between SMEs and the fund remunerates management expenses.</w:t>
      </w:r>
    </w:p>
    <w:p>
      <w:pPr>
        <w:rPr>
          <w:rFonts w:ascii="Times New Roman" w:hAnsi="Times New Roman" w:cs="Times New Roman"/>
          <w:sz w:val="24"/>
          <w:szCs w:val="24"/>
          <w:lang w:val="en-US"/>
        </w:rPr>
      </w:pPr>
      <w:r>
        <w:rPr>
          <w:rFonts w:ascii="Times New Roman" w:hAnsi="Times New Roman" w:cs="Times New Roman"/>
          <w:sz w:val="24"/>
          <w:szCs w:val="24"/>
          <w:lang w:val="en-US"/>
        </w:rPr>
        <w:t>- The companies participate in the shareholding of the fund in proportion to their size and percentage of issue.</w:t>
      </w:r>
    </w:p>
    <w:p>
      <w:pPr>
        <w:rPr>
          <w:rFonts w:ascii="Times New Roman" w:hAnsi="Times New Roman" w:cs="Times New Roman"/>
          <w:sz w:val="24"/>
          <w:szCs w:val="24"/>
          <w:lang w:val="en-US"/>
        </w:rPr>
      </w:pPr>
      <w:r>
        <w:rPr>
          <w:rFonts w:ascii="Times New Roman" w:hAnsi="Times New Roman" w:cs="Times New Roman"/>
          <w:sz w:val="24"/>
          <w:szCs w:val="24"/>
          <w:lang w:val="en-US"/>
        </w:rPr>
        <w:t>- Very small companies or companies with excessive indebtedness should be discarded. The main ratios that could be proposed would be: (FFPP / medium and long-term debt: &lt;1x and / or Debt / Ebitda: &lt;3x and / or, equity / assets:&gt; 75%)</w:t>
      </w:r>
    </w:p>
    <w:p>
      <w:pPr>
        <w:rPr>
          <w:rFonts w:ascii="Times New Roman" w:hAnsi="Times New Roman" w:cs="Times New Roman"/>
          <w:sz w:val="24"/>
          <w:szCs w:val="24"/>
          <w:lang w:val="en-US"/>
        </w:rPr>
      </w:pPr>
      <w:r>
        <w:rPr>
          <w:rFonts w:ascii="Times New Roman" w:hAnsi="Times New Roman" w:cs="Times New Roman"/>
          <w:sz w:val="24"/>
          <w:szCs w:val="24"/>
          <w:lang w:val="en-US"/>
        </w:rPr>
        <w:t>- It is suggested to start with companies with export profile or strong growth in the local market, which after the failure of equity markets such as the Spanish MAB, have no other affordable financing options.</w:t>
      </w:r>
    </w:p>
    <w:p>
      <w:pPr>
        <w:rPr>
          <w:rFonts w:ascii="Times New Roman" w:hAnsi="Times New Roman" w:cs="Times New Roman"/>
          <w:sz w:val="24"/>
          <w:szCs w:val="24"/>
          <w:lang w:val="en-US"/>
        </w:rPr>
      </w:pPr>
      <w:r>
        <w:rPr>
          <w:rFonts w:ascii="Times New Roman" w:hAnsi="Times New Roman" w:cs="Times New Roman"/>
          <w:sz w:val="24"/>
          <w:szCs w:val="24"/>
          <w:lang w:val="en-US"/>
        </w:rPr>
        <w:t>It would be in summary of:</w:t>
      </w:r>
    </w:p>
    <w:p>
      <w:pPr>
        <w:rPr>
          <w:rFonts w:ascii="Times New Roman" w:hAnsi="Times New Roman" w:cs="Times New Roman"/>
          <w:sz w:val="24"/>
          <w:szCs w:val="24"/>
          <w:lang w:val="en-US"/>
        </w:rPr>
      </w:pPr>
      <w:r>
        <w:rPr>
          <w:rFonts w:ascii="Times New Roman" w:hAnsi="Times New Roman" w:cs="Times New Roman"/>
          <w:sz w:val="24"/>
          <w:szCs w:val="24"/>
          <w:lang w:val="en-US"/>
        </w:rPr>
        <w:t>- Organize and implement this long-term financing system for SMEs based on bonds.</w:t>
      </w:r>
    </w:p>
    <w:p>
      <w:pPr>
        <w:rPr>
          <w:rFonts w:ascii="Times New Roman" w:hAnsi="Times New Roman" w:cs="Times New Roman"/>
          <w:sz w:val="24"/>
          <w:szCs w:val="24"/>
          <w:lang w:val="en-US"/>
        </w:rPr>
      </w:pPr>
      <w:r>
        <w:rPr>
          <w:rFonts w:ascii="Times New Roman" w:hAnsi="Times New Roman" w:cs="Times New Roman"/>
          <w:sz w:val="24"/>
          <w:szCs w:val="24"/>
          <w:lang w:val="en-US"/>
        </w:rPr>
        <w:t>- Promote good banking management practices to viable projects, especially agricultural projects.</w:t>
      </w:r>
    </w:p>
    <w:p>
      <w:pPr>
        <w:rPr>
          <w:rFonts w:ascii="Times New Roman" w:hAnsi="Times New Roman" w:cs="Times New Roman"/>
          <w:sz w:val="24"/>
          <w:szCs w:val="24"/>
          <w:lang w:val="en-US"/>
        </w:rPr>
      </w:pPr>
      <w:r>
        <w:rPr>
          <w:rFonts w:ascii="Times New Roman" w:hAnsi="Times New Roman" w:cs="Times New Roman"/>
          <w:sz w:val="24"/>
          <w:szCs w:val="24"/>
          <w:lang w:val="en-US"/>
        </w:rPr>
        <w:t>- Communicate and promote a novel financing system among lenders, investors and financial authorities.</w:t>
      </w:r>
    </w:p>
    <w:p>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3.1.- PHASES AND DEADLINES OF THE PROPOSED MODEL.</w:t>
      </w:r>
    </w:p>
    <w:p>
      <w:pPr>
        <w:rPr>
          <w:rFonts w:ascii="Times New Roman" w:hAnsi="Times New Roman" w:cs="Times New Roman"/>
          <w:sz w:val="24"/>
          <w:szCs w:val="24"/>
          <w:lang w:val="en-US"/>
        </w:rPr>
      </w:pPr>
      <w:r>
        <w:rPr>
          <w:rFonts w:ascii="Times New Roman" w:hAnsi="Times New Roman" w:cs="Times New Roman"/>
          <w:sz w:val="24"/>
          <w:szCs w:val="24"/>
          <w:lang w:val="en-US"/>
        </w:rPr>
        <w:t>The phases and the estimated deadlines would be:</w:t>
      </w:r>
    </w:p>
    <w:p>
      <w:pPr>
        <w:rPr>
          <w:rFonts w:ascii="Times New Roman" w:hAnsi="Times New Roman" w:cs="Times New Roman"/>
          <w:b/>
          <w:sz w:val="24"/>
          <w:szCs w:val="24"/>
          <w:lang w:val="en-US"/>
        </w:rPr>
      </w:pPr>
      <w:r>
        <w:rPr>
          <w:rFonts w:ascii="Times New Roman" w:hAnsi="Times New Roman" w:cs="Times New Roman"/>
          <w:b/>
          <w:sz w:val="24"/>
          <w:szCs w:val="24"/>
          <w:lang w:val="en-US"/>
        </w:rPr>
        <w:t>PHASE A. Structuring and assembly of the operation.</w:t>
      </w:r>
    </w:p>
    <w:p>
      <w:pPr>
        <w:rPr>
          <w:rFonts w:ascii="Times New Roman" w:hAnsi="Times New Roman" w:cs="Times New Roman"/>
          <w:sz w:val="24"/>
          <w:szCs w:val="24"/>
          <w:lang w:val="en-US"/>
        </w:rPr>
      </w:pPr>
      <w:r>
        <w:rPr>
          <w:rFonts w:ascii="Times New Roman" w:hAnsi="Times New Roman" w:cs="Times New Roman"/>
          <w:sz w:val="24"/>
          <w:szCs w:val="24"/>
          <w:lang w:val="en-US"/>
        </w:rPr>
        <w:t>Phase A I</w:t>
      </w:r>
    </w:p>
    <w:p>
      <w:pPr>
        <w:rPr>
          <w:rFonts w:ascii="Times New Roman" w:hAnsi="Times New Roman" w:cs="Times New Roman"/>
          <w:sz w:val="24"/>
          <w:szCs w:val="24"/>
          <w:lang w:val="en-US"/>
        </w:rPr>
      </w:pPr>
      <w:r>
        <w:rPr>
          <w:rFonts w:ascii="Times New Roman" w:hAnsi="Times New Roman" w:cs="Times New Roman"/>
          <w:sz w:val="24"/>
          <w:szCs w:val="24"/>
          <w:lang w:val="en-US"/>
        </w:rPr>
        <w:t>Term: 2 months</w:t>
      </w:r>
    </w:p>
    <w:p>
      <w:pPr>
        <w:rPr>
          <w:rFonts w:ascii="Times New Roman" w:hAnsi="Times New Roman" w:cs="Times New Roman"/>
          <w:sz w:val="24"/>
          <w:szCs w:val="24"/>
          <w:lang w:val="en-US"/>
        </w:rPr>
      </w:pPr>
      <w:r>
        <w:rPr>
          <w:rFonts w:ascii="Times New Roman" w:hAnsi="Times New Roman" w:cs="Times New Roman"/>
          <w:sz w:val="24"/>
          <w:szCs w:val="24"/>
          <w:lang w:val="en-US"/>
        </w:rPr>
        <w:t>Participants: Promoters of the fund, (small entrepreneurs, especially farmers, investors, investment funds, etc.) In this sense, have Professional Associations, Associations of Farmers, Chambers of Commerce, etc. It is very interesting and provides the necessary solidity and credibility.</w:t>
      </w:r>
    </w:p>
    <w:p>
      <w:pPr>
        <w:rPr>
          <w:rFonts w:ascii="Times New Roman" w:hAnsi="Times New Roman" w:cs="Times New Roman"/>
          <w:sz w:val="24"/>
          <w:szCs w:val="24"/>
          <w:lang w:val="en-US"/>
        </w:rPr>
      </w:pPr>
      <w:r>
        <w:rPr>
          <w:rFonts w:ascii="Times New Roman" w:hAnsi="Times New Roman" w:cs="Times New Roman"/>
          <w:sz w:val="24"/>
          <w:szCs w:val="24"/>
          <w:lang w:val="en-US"/>
        </w:rPr>
        <w:t>Preparation of a strategic, financial and operational report, the so-called "sales notebook".</w:t>
      </w:r>
    </w:p>
    <w:p>
      <w:pPr>
        <w:rPr>
          <w:rFonts w:ascii="Times New Roman" w:hAnsi="Times New Roman" w:cs="Times New Roman"/>
          <w:sz w:val="24"/>
          <w:szCs w:val="24"/>
          <w:lang w:val="en-US"/>
        </w:rPr>
      </w:pPr>
      <w:r>
        <w:rPr>
          <w:rFonts w:ascii="Times New Roman" w:hAnsi="Times New Roman" w:cs="Times New Roman"/>
          <w:sz w:val="24"/>
          <w:szCs w:val="24"/>
          <w:lang w:val="en-US"/>
        </w:rPr>
        <w:t>This strategic document would allow to verify on the spot (i) the interest in this financing system of potential borrowers (SMEs) (ii) the interest of investors to finance it (iii) reaction of the regulatory authorities (iv) reaction of the agencies of rating</w:t>
      </w:r>
    </w:p>
    <w:p>
      <w:pPr>
        <w:rPr>
          <w:rFonts w:ascii="Times New Roman" w:hAnsi="Times New Roman" w:cs="Times New Roman"/>
          <w:sz w:val="24"/>
          <w:szCs w:val="24"/>
          <w:lang w:val="en-US"/>
        </w:rPr>
      </w:pPr>
      <w:r>
        <w:rPr>
          <w:rFonts w:ascii="Times New Roman" w:hAnsi="Times New Roman" w:cs="Times New Roman"/>
          <w:sz w:val="24"/>
          <w:szCs w:val="24"/>
          <w:lang w:val="en-US"/>
        </w:rPr>
        <w:t>a) Appointment of the risk analysis committee.</w:t>
      </w:r>
    </w:p>
    <w:p>
      <w:pPr>
        <w:rPr>
          <w:rFonts w:ascii="Times New Roman" w:hAnsi="Times New Roman" w:cs="Times New Roman"/>
          <w:sz w:val="24"/>
          <w:szCs w:val="24"/>
          <w:lang w:val="en-US"/>
        </w:rPr>
      </w:pPr>
      <w:r>
        <w:rPr>
          <w:rFonts w:ascii="Times New Roman" w:hAnsi="Times New Roman" w:cs="Times New Roman"/>
          <w:sz w:val="24"/>
          <w:szCs w:val="24"/>
          <w:lang w:val="en-US"/>
        </w:rPr>
        <w:t>b) Choice of initial companies</w:t>
      </w:r>
    </w:p>
    <w:p>
      <w:pPr>
        <w:rPr>
          <w:rFonts w:ascii="Times New Roman" w:hAnsi="Times New Roman" w:cs="Times New Roman"/>
          <w:sz w:val="24"/>
          <w:szCs w:val="24"/>
          <w:lang w:val="en-US"/>
        </w:rPr>
      </w:pPr>
      <w:r>
        <w:rPr>
          <w:rFonts w:ascii="Times New Roman" w:hAnsi="Times New Roman" w:cs="Times New Roman"/>
          <w:sz w:val="24"/>
          <w:szCs w:val="24"/>
          <w:lang w:val="en-US"/>
        </w:rPr>
        <w:t>The report shall consist of:</w:t>
      </w:r>
    </w:p>
    <w:p>
      <w:pPr>
        <w:rPr>
          <w:rFonts w:ascii="Times New Roman" w:hAnsi="Times New Roman" w:cs="Times New Roman"/>
          <w:sz w:val="24"/>
          <w:szCs w:val="24"/>
          <w:lang w:val="en-US"/>
        </w:rPr>
      </w:pPr>
      <w:r>
        <w:rPr>
          <w:rFonts w:ascii="Times New Roman" w:hAnsi="Times New Roman" w:cs="Times New Roman"/>
          <w:sz w:val="24"/>
          <w:szCs w:val="24"/>
          <w:lang w:val="en-US"/>
        </w:rPr>
        <w:t>- "Rationale" of the project. Reasons</w:t>
      </w:r>
    </w:p>
    <w:p>
      <w:pPr>
        <w:rPr>
          <w:rFonts w:ascii="Times New Roman" w:hAnsi="Times New Roman" w:cs="Times New Roman"/>
          <w:sz w:val="24"/>
          <w:szCs w:val="24"/>
          <w:lang w:val="en-US"/>
        </w:rPr>
      </w:pPr>
      <w:r>
        <w:rPr>
          <w:rFonts w:ascii="Times New Roman" w:hAnsi="Times New Roman" w:cs="Times New Roman"/>
          <w:sz w:val="24"/>
          <w:szCs w:val="24"/>
          <w:lang w:val="en-US"/>
        </w:rPr>
        <w:t>- Detailed description of the fund model</w:t>
      </w:r>
    </w:p>
    <w:p>
      <w:pPr>
        <w:rPr>
          <w:rFonts w:ascii="Times New Roman" w:hAnsi="Times New Roman" w:cs="Times New Roman"/>
          <w:sz w:val="24"/>
          <w:szCs w:val="24"/>
          <w:lang w:val="en-US"/>
        </w:rPr>
      </w:pPr>
      <w:r>
        <w:rPr>
          <w:rFonts w:ascii="Times New Roman" w:hAnsi="Times New Roman" w:cs="Times New Roman"/>
          <w:sz w:val="24"/>
          <w:szCs w:val="24"/>
          <w:lang w:val="en-US"/>
        </w:rPr>
        <w:t>- Initial companies that make it up: you can group different sectors.</w:t>
      </w:r>
    </w:p>
    <w:p>
      <w:pPr>
        <w:rPr>
          <w:rFonts w:ascii="Times New Roman" w:hAnsi="Times New Roman" w:cs="Times New Roman"/>
          <w:sz w:val="24"/>
          <w:szCs w:val="24"/>
          <w:lang w:val="en-US"/>
        </w:rPr>
      </w:pPr>
      <w:r>
        <w:rPr>
          <w:rFonts w:ascii="Times New Roman" w:hAnsi="Times New Roman" w:cs="Times New Roman"/>
          <w:sz w:val="24"/>
          <w:szCs w:val="24"/>
          <w:lang w:val="en-US"/>
        </w:rPr>
        <w:t>- Credit Analysis Report of each</w:t>
      </w:r>
    </w:p>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It would serve as a reference for phases II and III</w:t>
      </w:r>
    </w:p>
    <w:p>
      <w:pPr>
        <w:rPr>
          <w:rFonts w:ascii="Times New Roman" w:hAnsi="Times New Roman" w:cs="Times New Roman"/>
          <w:sz w:val="24"/>
          <w:szCs w:val="24"/>
          <w:lang w:val="en-US"/>
        </w:rPr>
      </w:pPr>
      <w:r>
        <w:rPr>
          <w:rFonts w:ascii="Times New Roman" w:hAnsi="Times New Roman" w:cs="Times New Roman"/>
          <w:sz w:val="24"/>
          <w:szCs w:val="24"/>
          <w:lang w:val="en-US"/>
        </w:rPr>
        <w:t>Phase A II:</w:t>
      </w:r>
    </w:p>
    <w:p>
      <w:pPr>
        <w:rPr>
          <w:rFonts w:ascii="Times New Roman" w:hAnsi="Times New Roman" w:cs="Times New Roman"/>
          <w:sz w:val="24"/>
          <w:szCs w:val="24"/>
          <w:lang w:val="en-US"/>
        </w:rPr>
      </w:pPr>
      <w:r>
        <w:rPr>
          <w:rFonts w:ascii="Times New Roman" w:hAnsi="Times New Roman" w:cs="Times New Roman"/>
          <w:sz w:val="24"/>
          <w:szCs w:val="24"/>
          <w:lang w:val="en-US"/>
        </w:rPr>
        <w:t>Term: 15 days</w:t>
      </w:r>
    </w:p>
    <w:p>
      <w:pPr>
        <w:rPr>
          <w:rFonts w:ascii="Times New Roman" w:hAnsi="Times New Roman" w:cs="Times New Roman"/>
          <w:sz w:val="24"/>
          <w:szCs w:val="24"/>
          <w:lang w:val="en-US"/>
        </w:rPr>
      </w:pPr>
      <w:r>
        <w:rPr>
          <w:rFonts w:ascii="Times New Roman" w:hAnsi="Times New Roman" w:cs="Times New Roman"/>
          <w:sz w:val="24"/>
          <w:szCs w:val="24"/>
          <w:lang w:val="en-US"/>
        </w:rPr>
        <w:t>Intervening</w:t>
      </w:r>
    </w:p>
    <w:p>
      <w:pPr>
        <w:rPr>
          <w:rFonts w:ascii="Times New Roman" w:hAnsi="Times New Roman" w:cs="Times New Roman"/>
          <w:sz w:val="24"/>
          <w:szCs w:val="24"/>
          <w:lang w:val="en-US"/>
        </w:rPr>
      </w:pPr>
      <w:r>
        <w:rPr>
          <w:rFonts w:ascii="Times New Roman" w:hAnsi="Times New Roman" w:cs="Times New Roman"/>
          <w:sz w:val="24"/>
          <w:szCs w:val="24"/>
          <w:lang w:val="en-US"/>
        </w:rPr>
        <w:t>Legal report Share with a legal firm with a presence in the countries where interest is expected for the fund, assessing the legal viability and making the necessary legal and fiscal adjustments to ensure the optimal functioning of the system. In this sense, another interesting option is to take advantage of the relationships between universities in different countries, forming the necessary start-ups, so that a number of professors who join the risk analysis area are grouped together with the private sector. knowledge of the peculiarities and characteristics of each country.</w:t>
      </w:r>
    </w:p>
    <w:p>
      <w:pPr>
        <w:rPr>
          <w:rFonts w:ascii="Times New Roman" w:hAnsi="Times New Roman" w:cs="Times New Roman"/>
          <w:sz w:val="24"/>
          <w:szCs w:val="24"/>
          <w:lang w:val="en-US"/>
        </w:rPr>
      </w:pPr>
      <w:r>
        <w:rPr>
          <w:rFonts w:ascii="Times New Roman" w:hAnsi="Times New Roman" w:cs="Times New Roman"/>
          <w:sz w:val="24"/>
          <w:szCs w:val="24"/>
          <w:lang w:val="en-US"/>
        </w:rPr>
        <w:t>Phase A III:</w:t>
      </w:r>
    </w:p>
    <w:p>
      <w:pPr>
        <w:rPr>
          <w:rFonts w:ascii="Times New Roman" w:hAnsi="Times New Roman" w:cs="Times New Roman"/>
          <w:sz w:val="24"/>
          <w:szCs w:val="24"/>
          <w:lang w:val="en-US"/>
        </w:rPr>
      </w:pPr>
      <w:r>
        <w:rPr>
          <w:rFonts w:ascii="Times New Roman" w:hAnsi="Times New Roman" w:cs="Times New Roman"/>
          <w:sz w:val="24"/>
          <w:szCs w:val="24"/>
          <w:lang w:val="en-US"/>
        </w:rPr>
        <w:t>Term: 1 month</w:t>
      </w:r>
    </w:p>
    <w:p>
      <w:pPr>
        <w:rPr>
          <w:rFonts w:ascii="Times New Roman" w:hAnsi="Times New Roman" w:cs="Times New Roman"/>
          <w:sz w:val="24"/>
          <w:szCs w:val="24"/>
          <w:lang w:val="en-US"/>
        </w:rPr>
      </w:pPr>
      <w:r>
        <w:rPr>
          <w:rFonts w:ascii="Times New Roman" w:hAnsi="Times New Roman" w:cs="Times New Roman"/>
          <w:sz w:val="24"/>
          <w:szCs w:val="24"/>
          <w:lang w:val="en-US"/>
        </w:rPr>
        <w:t>"Maping" or search for investors (Eaf, ..) and mainly European family offices, specialized funds, EAFIS clients and later Cofides or Ico. One on one meetings with selected investors with the document made in phase I. Confirmation of the funds to be invested.</w:t>
      </w:r>
    </w:p>
    <w:p>
      <w:pPr>
        <w:rPr>
          <w:rFonts w:ascii="Times New Roman" w:hAnsi="Times New Roman" w:cs="Times New Roman"/>
          <w:sz w:val="24"/>
          <w:szCs w:val="24"/>
          <w:lang w:val="en-US"/>
        </w:rPr>
      </w:pPr>
      <w:r>
        <w:rPr>
          <w:rFonts w:ascii="Times New Roman" w:hAnsi="Times New Roman" w:cs="Times New Roman"/>
          <w:sz w:val="24"/>
          <w:szCs w:val="24"/>
          <w:lang w:val="en-US"/>
        </w:rPr>
        <w:t>Phase A IV:</w:t>
      </w:r>
    </w:p>
    <w:p>
      <w:pPr>
        <w:rPr>
          <w:rFonts w:ascii="Times New Roman" w:hAnsi="Times New Roman" w:cs="Times New Roman"/>
          <w:sz w:val="24"/>
          <w:szCs w:val="24"/>
          <w:lang w:val="en-US"/>
        </w:rPr>
      </w:pPr>
      <w:r>
        <w:rPr>
          <w:rFonts w:ascii="Times New Roman" w:hAnsi="Times New Roman" w:cs="Times New Roman"/>
          <w:sz w:val="24"/>
          <w:szCs w:val="24"/>
          <w:lang w:val="en-US"/>
        </w:rPr>
        <w:t>Term: 1 week</w:t>
      </w:r>
    </w:p>
    <w:p>
      <w:pPr>
        <w:rPr>
          <w:rFonts w:ascii="Times New Roman" w:hAnsi="Times New Roman" w:cs="Times New Roman"/>
          <w:sz w:val="24"/>
          <w:szCs w:val="24"/>
          <w:lang w:val="en-US"/>
        </w:rPr>
      </w:pPr>
      <w:r>
        <w:rPr>
          <w:rFonts w:ascii="Times New Roman" w:hAnsi="Times New Roman" w:cs="Times New Roman"/>
          <w:sz w:val="24"/>
          <w:szCs w:val="24"/>
          <w:lang w:val="en-US"/>
        </w:rPr>
        <w:t>Modeling to simulate the impact of the hypotheses in terms of structuring costs, management systems, guarantee systems and emissions for financing in order to check whether the financing conditions are still attractive after the application of the hypotheses.</w:t>
      </w:r>
    </w:p>
    <w:p>
      <w:pPr>
        <w:rPr>
          <w:rFonts w:ascii="Times New Roman" w:hAnsi="Times New Roman" w:cs="Times New Roman"/>
          <w:sz w:val="24"/>
          <w:szCs w:val="24"/>
          <w:lang w:val="en-US"/>
        </w:rPr>
      </w:pPr>
      <w:r>
        <w:rPr>
          <w:rFonts w:ascii="Times New Roman" w:hAnsi="Times New Roman" w:cs="Times New Roman"/>
          <w:sz w:val="24"/>
          <w:szCs w:val="24"/>
          <w:lang w:val="en-US"/>
        </w:rPr>
        <w:t>Phase A V.</w:t>
      </w:r>
    </w:p>
    <w:p>
      <w:pPr>
        <w:rPr>
          <w:rFonts w:ascii="Times New Roman" w:hAnsi="Times New Roman" w:cs="Times New Roman"/>
          <w:sz w:val="24"/>
          <w:szCs w:val="24"/>
          <w:lang w:val="en-US"/>
        </w:rPr>
      </w:pPr>
      <w:r>
        <w:rPr>
          <w:rFonts w:ascii="Times New Roman" w:hAnsi="Times New Roman" w:cs="Times New Roman"/>
          <w:sz w:val="24"/>
          <w:szCs w:val="24"/>
          <w:lang w:val="en-US"/>
        </w:rPr>
        <w:t>Term: 2 months</w:t>
      </w:r>
    </w:p>
    <w:p>
      <w:pPr>
        <w:rPr>
          <w:rFonts w:ascii="Times New Roman" w:hAnsi="Times New Roman" w:cs="Times New Roman"/>
          <w:sz w:val="24"/>
          <w:szCs w:val="24"/>
          <w:lang w:val="en-US"/>
        </w:rPr>
      </w:pPr>
      <w:r>
        <w:rPr>
          <w:rFonts w:ascii="Times New Roman" w:hAnsi="Times New Roman" w:cs="Times New Roman"/>
          <w:sz w:val="24"/>
          <w:szCs w:val="24"/>
          <w:lang w:val="en-US"/>
        </w:rPr>
        <w:t>Contact the rating agency:</w:t>
      </w:r>
    </w:p>
    <w:p>
      <w:pPr>
        <w:rPr>
          <w:rFonts w:ascii="Times New Roman" w:hAnsi="Times New Roman" w:cs="Times New Roman"/>
          <w:sz w:val="24"/>
          <w:szCs w:val="24"/>
          <w:lang w:val="en-US"/>
        </w:rPr>
      </w:pPr>
      <w:r>
        <w:rPr>
          <w:rFonts w:ascii="Times New Roman" w:hAnsi="Times New Roman" w:cs="Times New Roman"/>
          <w:sz w:val="24"/>
          <w:szCs w:val="24"/>
          <w:lang w:val="en-US"/>
        </w:rPr>
        <w:t>Contact and selection of the auditor:</w:t>
      </w:r>
    </w:p>
    <w:p>
      <w:pPr>
        <w:rPr>
          <w:rFonts w:ascii="Times New Roman" w:hAnsi="Times New Roman" w:cs="Times New Roman"/>
          <w:sz w:val="24"/>
          <w:szCs w:val="24"/>
          <w:lang w:val="en-US"/>
        </w:rPr>
      </w:pPr>
      <w:r>
        <w:rPr>
          <w:rFonts w:ascii="Times New Roman" w:hAnsi="Times New Roman" w:cs="Times New Roman"/>
          <w:sz w:val="24"/>
          <w:szCs w:val="24"/>
          <w:lang w:val="en-US"/>
        </w:rPr>
        <w:t>Application for rating by registered entity and preparation of the Euronext placement prospectus, and approval thereof.</w:t>
      </w:r>
    </w:p>
    <w:p>
      <w:pPr>
        <w:rPr>
          <w:rFonts w:ascii="Times New Roman" w:hAnsi="Times New Roman" w:cs="Times New Roman"/>
          <w:sz w:val="24"/>
          <w:szCs w:val="24"/>
          <w:lang w:val="en-US"/>
        </w:rPr>
      </w:pPr>
      <w:r>
        <w:rPr>
          <w:rFonts w:ascii="Times New Roman" w:hAnsi="Times New Roman" w:cs="Times New Roman"/>
          <w:sz w:val="24"/>
          <w:szCs w:val="24"/>
          <w:lang w:val="en-US"/>
        </w:rPr>
        <w:t>The issuance prospectus (English and in the different official languages of where there are investors) is the passport to the quotation in the market, it includes a thorough due diligence of the documentation by the "listing sponsor", verification of all the detailed information of the companies that form it, of the legal requirements to quote on Euronext, and of the issuer's ability to meet its financial obligations.</w:t>
      </w:r>
    </w:p>
    <w:p>
      <w:pPr>
        <w:rPr>
          <w:rFonts w:ascii="Times New Roman" w:hAnsi="Times New Roman" w:cs="Times New Roman"/>
          <w:sz w:val="24"/>
          <w:szCs w:val="24"/>
          <w:lang w:val="en-US"/>
        </w:rPr>
      </w:pPr>
      <w:r>
        <w:rPr>
          <w:rFonts w:ascii="Times New Roman" w:hAnsi="Times New Roman" w:cs="Times New Roman"/>
          <w:sz w:val="24"/>
          <w:szCs w:val="24"/>
          <w:lang w:val="en-US"/>
        </w:rPr>
        <w:t>Creation or subcontracting of a fund manager, responsible for the management of the assets.</w:t>
      </w:r>
    </w:p>
    <w:p>
      <w:pPr>
        <w:rPr>
          <w:rFonts w:ascii="Times New Roman" w:hAnsi="Times New Roman" w:cs="Times New Roman"/>
          <w:b/>
          <w:sz w:val="24"/>
          <w:szCs w:val="24"/>
          <w:lang w:val="en-US"/>
        </w:rPr>
      </w:pPr>
      <w:r>
        <w:rPr>
          <w:rFonts w:ascii="Times New Roman" w:hAnsi="Times New Roman" w:cs="Times New Roman"/>
          <w:b/>
          <w:sz w:val="24"/>
          <w:szCs w:val="24"/>
          <w:lang w:val="en-US"/>
        </w:rPr>
        <w:t>PHASE B: PLACEMENT OF SME / AGRICULTURAL BONDS.</w:t>
      </w:r>
    </w:p>
    <w:p>
      <w:pPr>
        <w:rPr>
          <w:rFonts w:ascii="Times New Roman" w:hAnsi="Times New Roman" w:cs="Times New Roman"/>
          <w:sz w:val="24"/>
          <w:szCs w:val="24"/>
          <w:lang w:val="en-US"/>
        </w:rPr>
      </w:pPr>
      <w:r>
        <w:rPr>
          <w:rFonts w:ascii="Times New Roman" w:hAnsi="Times New Roman" w:cs="Times New Roman"/>
          <w:sz w:val="24"/>
          <w:szCs w:val="24"/>
          <w:lang w:val="en-US"/>
        </w:rPr>
        <w:t>The second and final phase would be the formation of the union of jobbers, closing of the placement and registration of the operation. At this moment, it is particularly important that a group of farmers, or related companies, together with Chambers of Commerce, Counseling or similar, lead the presentation and give it reliability in the markets.</w:t>
      </w:r>
    </w:p>
    <w:p>
      <w:pPr>
        <w:rPr>
          <w:rFonts w:ascii="Times New Roman" w:hAnsi="Times New Roman" w:cs="Times New Roman"/>
          <w:sz w:val="24"/>
          <w:szCs w:val="24"/>
          <w:lang w:val="en-US"/>
        </w:rPr>
      </w:pPr>
      <w:r>
        <w:rPr>
          <w:rFonts w:ascii="Times New Roman" w:hAnsi="Times New Roman" w:cs="Times New Roman"/>
          <w:sz w:val="24"/>
          <w:szCs w:val="24"/>
          <w:lang w:val="en-US"/>
        </w:rPr>
        <w:t>One suggestion is that these expenses advanced by the promoters of the project are capitalized in shares of the management company of the fund, at the moment of its constitution so that they are considered investment and not expense. It is a way to ensure that the partners that drive the project maintain their links with it.</w:t>
      </w:r>
    </w:p>
    <w:p>
      <w:pPr>
        <w:rPr>
          <w:rFonts w:ascii="Times New Roman" w:hAnsi="Times New Roman" w:cs="Times New Roman"/>
          <w:sz w:val="24"/>
          <w:szCs w:val="24"/>
          <w:lang w:val="en-US"/>
        </w:rPr>
      </w:pPr>
      <w:r>
        <w:rPr>
          <w:rFonts w:ascii="Times New Roman" w:hAnsi="Times New Roman" w:cs="Times New Roman"/>
          <w:sz w:val="24"/>
          <w:szCs w:val="24"/>
          <w:lang w:val="en-US"/>
        </w:rPr>
        <w:t>The problematic that the analysis team must face is still pending, when assessing the companies that wish to join the fund, whose assets must study and update estimated future data.</w:t>
      </w:r>
    </w:p>
    <w:p>
      <w:pPr>
        <w:rPr>
          <w:rFonts w:ascii="Times New Roman" w:hAnsi="Times New Roman" w:cs="Times New Roman"/>
          <w:sz w:val="24"/>
          <w:szCs w:val="24"/>
          <w:lang w:val="en-US"/>
        </w:rPr>
      </w:pPr>
      <w:r>
        <w:rPr>
          <w:rFonts w:ascii="Times New Roman" w:hAnsi="Times New Roman" w:cs="Times New Roman"/>
          <w:sz w:val="24"/>
          <w:szCs w:val="24"/>
          <w:lang w:val="en-US"/>
        </w:rPr>
        <w:t>These data, always based on estimates, are subject by their nature to the uncertainty in which the value is maintained, in which the conditions under which they have been estimated do not change, and above all in the subjectivity of the people who have designed them and calculated, that they can not always detach from their own interests and particular interests.</w:t>
      </w:r>
    </w:p>
    <w:p>
      <w:pPr>
        <w:rPr>
          <w:rFonts w:ascii="Times New Roman" w:hAnsi="Times New Roman" w:cs="Times New Roman"/>
          <w:sz w:val="24"/>
          <w:szCs w:val="24"/>
          <w:lang w:val="en-US"/>
        </w:rPr>
      </w:pPr>
      <w:r>
        <w:rPr>
          <w:rFonts w:ascii="Times New Roman" w:hAnsi="Times New Roman" w:cs="Times New Roman"/>
          <w:sz w:val="24"/>
          <w:szCs w:val="24"/>
          <w:lang w:val="en-US"/>
        </w:rPr>
        <w:t>Traditional methods of analysis are valid as long as the variables they work on do not change and have a high degree of reliability, but what happens if the future cash flows, or revenues, or components of the equity, change over those appear in the business plants? In this case it could happen that the analysis under which a company could issue bonds resulted in an opposite result, discouraging its issuance.</w:t>
      </w:r>
    </w:p>
    <w:p>
      <w:pPr>
        <w:rPr>
          <w:rFonts w:ascii="Times New Roman" w:hAnsi="Times New Roman" w:cs="Times New Roman"/>
          <w:sz w:val="24"/>
          <w:szCs w:val="24"/>
          <w:lang w:val="en-US"/>
        </w:rPr>
      </w:pPr>
      <w:r>
        <w:rPr>
          <w:rFonts w:ascii="Times New Roman" w:hAnsi="Times New Roman" w:cs="Times New Roman"/>
          <w:sz w:val="24"/>
          <w:szCs w:val="24"/>
          <w:lang w:val="en-US"/>
        </w:rPr>
        <w:t>In order to give greater reliability to the previous analysis, which should be done to admit a company to the bond issuers union, we think that the use of fuzzy logic can greatly improve the previous studies, since they take into account both the inherent uncertainty to any economic process, such as subjectivity in the analysis and valuation. In this way, the valuation analysis is much more powerful and above all reliable, being able to be more rigorous and avoiding as far as possible that companies that do not have sufficient solvency and profitability guarantees issue bonds in this model.</w:t>
      </w:r>
    </w:p>
    <w:p>
      <w:pPr>
        <w:rPr>
          <w:rFonts w:ascii="Times New Roman" w:hAnsi="Times New Roman" w:cs="Times New Roman"/>
          <w:sz w:val="24"/>
          <w:szCs w:val="24"/>
          <w:lang w:val="en-US"/>
        </w:rPr>
      </w:pPr>
      <w:r>
        <w:rPr>
          <w:rFonts w:ascii="Times New Roman" w:hAnsi="Times New Roman" w:cs="Times New Roman"/>
          <w:sz w:val="24"/>
          <w:szCs w:val="24"/>
          <w:lang w:val="en-US"/>
        </w:rPr>
        <w:t>For this reason, the problem of this application of fuzzy logic to the estimates and analyzes to be carried out will be briefly addressed, a proposal that should be assumed by the team of analysts of the bond fund.</w:t>
      </w:r>
    </w:p>
    <w:p>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4.- APPLICATION OF FUZZY LOGIC IN THE ESTIMATION OF VARIABLES.</w:t>
      </w:r>
    </w:p>
    <w:p>
      <w:pPr>
        <w:rPr>
          <w:rFonts w:ascii="Times New Roman" w:hAnsi="Times New Roman" w:cs="Times New Roman"/>
          <w:sz w:val="24"/>
          <w:szCs w:val="24"/>
          <w:lang w:val="en-US"/>
        </w:rPr>
      </w:pPr>
      <w:r>
        <w:rPr>
          <w:rFonts w:ascii="Times New Roman" w:hAnsi="Times New Roman" w:cs="Times New Roman"/>
          <w:sz w:val="24"/>
          <w:szCs w:val="24"/>
          <w:lang w:val="en-US"/>
        </w:rPr>
        <w:t>In the structure outlined in the previous section, the analysis department assumes a very important role, since it must evaluate different variables, fundamentally the patrimonies of the companies that request their entry in the Agricultural SME's Bonds union. Depending on the valuation of that patrimony, the companies will be able to emit a figure of bonds.</w:t>
      </w:r>
    </w:p>
    <w:p>
      <w:pPr>
        <w:rPr>
          <w:rFonts w:ascii="Times New Roman" w:hAnsi="Times New Roman" w:cs="Times New Roman"/>
          <w:sz w:val="24"/>
          <w:szCs w:val="24"/>
          <w:lang w:val="en-US"/>
        </w:rPr>
      </w:pPr>
      <w:r>
        <w:rPr>
          <w:rFonts w:ascii="Times New Roman" w:hAnsi="Times New Roman" w:cs="Times New Roman"/>
          <w:sz w:val="24"/>
          <w:szCs w:val="24"/>
          <w:lang w:val="en-US"/>
        </w:rPr>
        <w:t>In this valuation there are intangibles that are not always adequately collected in the accounting, for example the GoodWill or Trade Funds, whose quantification is a real problem. For the valuation of these intangibles, subject to conditions of uncertainty and subjectivity, we are faced with a challenge, since no one can know the evolution of business and there is also a possible burden of subjectivity in the analysis by any economist.</w:t>
      </w:r>
    </w:p>
    <w:p>
      <w:pPr>
        <w:rPr>
          <w:rFonts w:ascii="Times New Roman" w:hAnsi="Times New Roman" w:cs="Times New Roman"/>
          <w:sz w:val="24"/>
          <w:szCs w:val="24"/>
          <w:lang w:val="en-US"/>
        </w:rPr>
      </w:pPr>
      <w:r>
        <w:rPr>
          <w:rFonts w:ascii="Times New Roman" w:hAnsi="Times New Roman" w:cs="Times New Roman"/>
          <w:sz w:val="24"/>
          <w:szCs w:val="24"/>
          <w:lang w:val="en-US"/>
        </w:rPr>
        <w:t>In our opinion, the solution necessarily involves the application of the theory of fuzzy subsets. As will be seen below, the fuzzy logic allows to substantially improve the quantification processes of those elements considered as intangible.</w:t>
      </w:r>
    </w:p>
    <w:p>
      <w:pPr>
        <w:rPr>
          <w:rFonts w:ascii="Times New Roman" w:hAnsi="Times New Roman" w:cs="Times New Roman"/>
          <w:sz w:val="24"/>
          <w:szCs w:val="24"/>
          <w:lang w:val="en-US"/>
        </w:rPr>
      </w:pPr>
      <w:r>
        <w:rPr>
          <w:rFonts w:ascii="Times New Roman" w:hAnsi="Times New Roman" w:cs="Times New Roman"/>
          <w:sz w:val="24"/>
          <w:szCs w:val="24"/>
          <w:lang w:val="en-US"/>
        </w:rPr>
        <w:t>It should be noted that the application of fuzzy logic in the economy, and specifically in accounting, is not new. Several authors of recognized prestige, among which we can highlight Kaufmann and Gil Aluja (1986), Gil Lafuente (1990, 1993, 1996) and Couturiery Fioleau (1996) in analysis and financial planning; Cooley and Hicks (1983), Faircloth and Ricchiute (1981), Siegel, Korvin and Omer (1993) and Kelly (1984) in auditing; and Whalen, Schott, Hall and Ganoe (1987) in financial accounting, have used this logic.</w:t>
      </w:r>
    </w:p>
    <w:p>
      <w:pPr>
        <w:rPr>
          <w:rFonts w:ascii="Times New Roman" w:hAnsi="Times New Roman" w:cs="Times New Roman"/>
          <w:sz w:val="24"/>
          <w:szCs w:val="24"/>
          <w:lang w:val="en-US"/>
        </w:rPr>
      </w:pPr>
      <w:r>
        <w:rPr>
          <w:rFonts w:ascii="Times New Roman" w:hAnsi="Times New Roman" w:cs="Times New Roman"/>
          <w:sz w:val="24"/>
          <w:szCs w:val="24"/>
          <w:lang w:val="en-US"/>
        </w:rPr>
        <w:t>On the other hand, management accounting has already made some really brilliant contributions in this regard. Thus, Zebda (1984) and Korvin, Strawser and Siegel (1995) have applied fuzzy logic in the cost-benefit analysis in the investigation of deviations; Kaufmann (1984) used it in the base-zero budget; Tanaka, Okuda and Asai (1976) use this instrument to solve problems in the elaboration of capital budgets; Brewer, Gatain and Reeve (1993) use it to improve the analysis of programs; Georgescu (1998) develops a model for flexible estimation of cost functions; Chan and Yuan (1990) apply this methodology in their cost-volume-benefit analysis as an aid to the accountant in the face of uncertainty and risk; and finally, Mansur (1995) uses it to assess opportunity costs.</w:t>
      </w:r>
    </w:p>
    <w:p>
      <w:pPr>
        <w:rPr>
          <w:rFonts w:ascii="Times New Roman" w:hAnsi="Times New Roman" w:cs="Times New Roman"/>
          <w:sz w:val="24"/>
          <w:szCs w:val="24"/>
          <w:lang w:val="en-US"/>
        </w:rPr>
      </w:pPr>
      <w:r>
        <w:rPr>
          <w:rFonts w:ascii="Times New Roman" w:hAnsi="Times New Roman" w:cs="Times New Roman"/>
          <w:sz w:val="24"/>
          <w:szCs w:val="24"/>
          <w:lang w:val="en-US"/>
        </w:rPr>
        <w:t>In this way, following the trail of the previous authors, a methodological proposal of quantification of the so-called intangibles will be introduced, based on the foundations of fuzzy logic. The potential of this technique multiplies the analysis made and gives it a great certainty in the evaluation of the assets, making sure that the company can assume with guarantees the payment of interest and repayment of the principal amount of the bonds issued and accepted by the fund.</w:t>
      </w:r>
    </w:p>
    <w:p>
      <w:pPr>
        <w:rPr>
          <w:rFonts w:ascii="Times New Roman" w:hAnsi="Times New Roman" w:cs="Times New Roman"/>
          <w:sz w:val="24"/>
          <w:szCs w:val="24"/>
          <w:lang w:val="en-US"/>
        </w:rPr>
      </w:pPr>
      <w:r>
        <w:rPr>
          <w:rFonts w:ascii="Times New Roman" w:hAnsi="Times New Roman" w:cs="Times New Roman"/>
          <w:sz w:val="24"/>
          <w:szCs w:val="24"/>
          <w:lang w:val="en-US"/>
        </w:rPr>
        <w:t>So, next we will deal with the quantification of intangibles by means of fuzzy logic, eliminating the subjectivity in the analysis and taking into account the uncertainty inherent in any economic data in the future.</w:t>
      </w:r>
    </w:p>
    <w:p>
      <w:pPr>
        <w:rPr>
          <w:rFonts w:ascii="Times New Roman" w:hAnsi="Times New Roman" w:cs="Times New Roman"/>
          <w:b/>
          <w:sz w:val="24"/>
          <w:szCs w:val="24"/>
          <w:lang w:val="en-US"/>
        </w:rPr>
      </w:pPr>
      <w:r>
        <w:rPr>
          <w:rFonts w:ascii="Times New Roman" w:hAnsi="Times New Roman" w:cs="Times New Roman"/>
          <w:b/>
          <w:sz w:val="24"/>
          <w:szCs w:val="24"/>
          <w:lang w:val="en-US"/>
        </w:rPr>
        <w:t>4.1.- PROPOSAL FOR QUANTIFICATION OF INTANGIBLES THROUGH BORROSA LOGIC.</w:t>
      </w:r>
    </w:p>
    <w:p>
      <w:pPr>
        <w:rPr>
          <w:rFonts w:ascii="Times New Roman" w:hAnsi="Times New Roman" w:cs="Times New Roman"/>
          <w:sz w:val="24"/>
          <w:szCs w:val="24"/>
          <w:lang w:val="en-US"/>
        </w:rPr>
      </w:pPr>
      <w:r>
        <w:rPr>
          <w:rFonts w:ascii="Times New Roman" w:hAnsi="Times New Roman" w:cs="Times New Roman"/>
          <w:sz w:val="24"/>
          <w:szCs w:val="24"/>
          <w:lang w:val="en-US"/>
        </w:rPr>
        <w:t>The ultimate goal of this section is to demonstrate very briefly the usefulness of fuzzy logic in the quantification of those elements where it is impossible to resort to objective and certain criteria for their estimation.</w:t>
      </w:r>
    </w:p>
    <w:p>
      <w:pPr>
        <w:rPr>
          <w:rFonts w:ascii="Times New Roman" w:hAnsi="Times New Roman" w:cs="Times New Roman"/>
          <w:sz w:val="24"/>
          <w:szCs w:val="24"/>
          <w:lang w:val="en-US"/>
        </w:rPr>
      </w:pPr>
      <w:r>
        <w:rPr>
          <w:rFonts w:ascii="Times New Roman" w:hAnsi="Times New Roman" w:cs="Times New Roman"/>
          <w:sz w:val="24"/>
          <w:szCs w:val="24"/>
          <w:lang w:val="en-US"/>
        </w:rPr>
        <w:t> Therefore, a methodological approach based on fuzzy logic is proposed, which we think will substantially improve the valuation process of intangibles, fundamentally in what may affect the equity valuation of a company.</w:t>
      </w:r>
    </w:p>
    <w:p>
      <w:pPr>
        <w:rPr>
          <w:rFonts w:ascii="Times New Roman" w:hAnsi="Times New Roman" w:cs="Times New Roman"/>
          <w:sz w:val="24"/>
          <w:szCs w:val="24"/>
          <w:lang w:val="en-US"/>
        </w:rPr>
      </w:pPr>
      <w:r>
        <w:rPr>
          <w:rFonts w:ascii="Times New Roman" w:hAnsi="Times New Roman" w:cs="Times New Roman"/>
          <w:sz w:val="24"/>
          <w:szCs w:val="24"/>
          <w:lang w:val="en-US"/>
        </w:rPr>
        <w:t>The proposed methodology is based on a sequential process divided into seven stages, each of which will then be commented and illustrated through a simple application example to estimate the true value of a Goodwill.</w:t>
      </w:r>
    </w:p>
    <w:p>
      <w:pPr>
        <w:rPr>
          <w:rFonts w:ascii="Times New Roman" w:hAnsi="Times New Roman" w:cs="Times New Roman"/>
          <w:sz w:val="24"/>
          <w:szCs w:val="24"/>
          <w:lang w:val="en-US"/>
        </w:rPr>
      </w:pPr>
      <w:r>
        <w:rPr>
          <w:rFonts w:ascii="Times New Roman" w:hAnsi="Times New Roman" w:cs="Times New Roman"/>
          <w:sz w:val="24"/>
          <w:szCs w:val="24"/>
          <w:lang w:val="en-US"/>
        </w:rPr>
        <w:t>4.1.1.- Selection of the variables to be determined.</w:t>
      </w:r>
    </w:p>
    <w:p>
      <w:pPr>
        <w:rPr>
          <w:rFonts w:ascii="Times New Roman" w:hAnsi="Times New Roman" w:cs="Times New Roman"/>
          <w:sz w:val="24"/>
          <w:szCs w:val="24"/>
          <w:lang w:val="en-US"/>
        </w:rPr>
      </w:pPr>
      <w:r>
        <w:rPr>
          <w:rFonts w:ascii="Times New Roman" w:hAnsi="Times New Roman" w:cs="Times New Roman"/>
          <w:sz w:val="24"/>
          <w:szCs w:val="24"/>
          <w:lang w:val="en-US"/>
        </w:rPr>
        <w:t>First, it is necessary for the company to select the target variable or variables. That is to say, we must define which variables we want to contrast, in order to ensure the highest reliability in the analysis. The most important variable will be the estimation of the value of existing intangibles, but we can apply this analysis to other items subject to uncertainty, such as provisions, amortizations, etc. which have a great effect on the results and final value figures of the company.</w:t>
      </w:r>
    </w:p>
    <w:p>
      <w:pPr>
        <w:rPr>
          <w:rFonts w:ascii="Times New Roman" w:hAnsi="Times New Roman" w:cs="Times New Roman"/>
          <w:sz w:val="24"/>
          <w:szCs w:val="24"/>
          <w:lang w:val="en-US"/>
        </w:rPr>
      </w:pPr>
      <w:r>
        <w:rPr>
          <w:rFonts w:ascii="Times New Roman" w:hAnsi="Times New Roman" w:cs="Times New Roman"/>
          <w:sz w:val="24"/>
          <w:szCs w:val="24"/>
          <w:lang w:val="en-US"/>
        </w:rPr>
        <w:t>If an analysis is carried out to update estimated cash flows, the method that we will propose below is perfectly valid, since no one can assure with certainty the figure of the mentioned flows within several years.</w:t>
      </w:r>
    </w:p>
    <w:p>
      <w:pPr>
        <w:rPr>
          <w:rFonts w:ascii="Times New Roman" w:hAnsi="Times New Roman" w:cs="Times New Roman"/>
          <w:sz w:val="24"/>
          <w:szCs w:val="24"/>
          <w:lang w:val="en-US"/>
        </w:rPr>
      </w:pPr>
      <w:r>
        <w:rPr>
          <w:rFonts w:ascii="Times New Roman" w:hAnsi="Times New Roman" w:cs="Times New Roman"/>
          <w:sz w:val="24"/>
          <w:szCs w:val="24"/>
          <w:lang w:val="en-US"/>
        </w:rPr>
        <w:t>We will try to quantify the intangible variable of Goodwill (Ḡ) to adjust to a specific case. The subjectivity and uncertainty that accompanies any valuation attempt, advises the use of the methodology proposed in this section.</w:t>
      </w:r>
    </w:p>
    <w:p>
      <w:pPr>
        <w:rPr>
          <w:rFonts w:ascii="Times New Roman" w:hAnsi="Times New Roman" w:cs="Times New Roman"/>
          <w:sz w:val="24"/>
          <w:szCs w:val="24"/>
          <w:lang w:val="en-US"/>
        </w:rPr>
      </w:pPr>
      <w:r>
        <w:rPr>
          <w:rFonts w:ascii="Times New Roman" w:hAnsi="Times New Roman" w:cs="Times New Roman"/>
          <w:sz w:val="24"/>
          <w:szCs w:val="24"/>
          <w:lang w:val="en-US"/>
        </w:rPr>
        <w:t>4.1.2.- Valuation of the intangible (Ḡ) by experts.</w:t>
      </w:r>
    </w:p>
    <w:p>
      <w:pPr>
        <w:rPr>
          <w:rFonts w:ascii="Times New Roman" w:hAnsi="Times New Roman" w:cs="Times New Roman"/>
          <w:sz w:val="24"/>
          <w:szCs w:val="24"/>
          <w:lang w:val="en-US"/>
        </w:rPr>
      </w:pPr>
      <w:r>
        <w:rPr>
          <w:rFonts w:ascii="Times New Roman" w:hAnsi="Times New Roman" w:cs="Times New Roman"/>
          <w:sz w:val="24"/>
          <w:szCs w:val="24"/>
          <w:lang w:val="en-US"/>
        </w:rPr>
        <w:t>Secondly, a group of experts, previously agreed upon, is asked to make a first assessment of the variable (Ḡ) in an environment based on their knowledge and the existing information of the sector (historical data, aggregates, etc.). uncertain. Obviously, if you want to quantify various cost elements, it is logical that different experts are used for each of the variables to be estimated. Since experts will predictably make rough predictions, it will probably be necessary to transform their opinions into trusted triples.</w:t>
      </w:r>
    </w:p>
    <w:p>
      <w:pPr>
        <w:rPr>
          <w:rFonts w:ascii="Times New Roman" w:hAnsi="Times New Roman" w:cs="Times New Roman"/>
          <w:sz w:val="24"/>
          <w:szCs w:val="24"/>
          <w:lang w:val="en-US"/>
        </w:rPr>
      </w:pPr>
      <w:r>
        <w:rPr>
          <w:rFonts w:ascii="Times New Roman" w:hAnsi="Times New Roman" w:cs="Times New Roman"/>
          <w:sz w:val="24"/>
          <w:szCs w:val="24"/>
          <w:lang w:val="en-US"/>
        </w:rPr>
        <w:t>Returning to the proposed example, given the great diversity of factors that can affect the quantification process, as well as the uncertain and eminently subjective nature of it, it is very useful to use the opinion expressed by independent experts. In this way, six expert analysts are selected for exhibition purposes and are asked to give their opinion on the Goodwill estimate in the target company. Obviously, experts will make approximate predictions, and rarely will anyone offer a fixed estimate.</w:t>
      </w:r>
    </w:p>
    <w:p>
      <w:pPr>
        <w:rPr>
          <w:rFonts w:ascii="Times New Roman" w:hAnsi="Times New Roman" w:cs="Times New Roman"/>
          <w:sz w:val="24"/>
          <w:szCs w:val="24"/>
          <w:lang w:val="en-US"/>
        </w:rPr>
      </w:pPr>
      <w:r>
        <w:rPr>
          <w:rFonts w:ascii="Times New Roman" w:hAnsi="Times New Roman" w:cs="Times New Roman"/>
          <w:sz w:val="24"/>
          <w:szCs w:val="24"/>
          <w:lang w:val="en-US"/>
        </w:rPr>
        <w:t>The following table shows the results offered by the surveys carried out to the experts:</w:t>
      </w:r>
    </w:p>
    <w:tbl>
      <w:tblPr>
        <w:tblStyle w:val="6"/>
        <w:tblW w:w="5670" w:type="dxa"/>
        <w:tblInd w:w="15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
      <w:tblGrid>
        <w:gridCol w:w="1134"/>
        <w:gridCol w:w="45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rPr>
        <w:tc>
          <w:tcPr>
            <w:tcW w:w="1134" w:type="dxa"/>
          </w:tcPr>
          <w:p>
            <w:pPr>
              <w:tabs>
                <w:tab w:val="left" w:pos="-720"/>
              </w:tabs>
              <w:suppressAutoHyphens/>
              <w:spacing w:before="90" w:after="54" w:line="240" w:lineRule="auto"/>
              <w:jc w:val="center"/>
              <w:rPr>
                <w:rFonts w:ascii="Times New Roman" w:hAnsi="Times New Roman" w:eastAsia="Times New Roman" w:cs="Times New Roman"/>
                <w:b/>
                <w:i/>
                <w:spacing w:val="-3"/>
                <w:sz w:val="26"/>
                <w:szCs w:val="20"/>
                <w:lang w:eastAsia="es-ES"/>
              </w:rPr>
            </w:pPr>
            <w:r>
              <w:rPr>
                <w:rFonts w:ascii="Times New Roman" w:hAnsi="Times New Roman" w:eastAsia="Times New Roman" w:cs="Times New Roman"/>
                <w:b/>
                <w:i/>
                <w:spacing w:val="-3"/>
                <w:sz w:val="26"/>
                <w:szCs w:val="20"/>
                <w:lang w:eastAsia="es-ES"/>
              </w:rPr>
              <w:t>Nº Exp.</w:t>
            </w:r>
          </w:p>
        </w:tc>
        <w:tc>
          <w:tcPr>
            <w:tcW w:w="4536" w:type="dxa"/>
          </w:tcPr>
          <w:p>
            <w:pPr>
              <w:tabs>
                <w:tab w:val="left" w:pos="-720"/>
              </w:tabs>
              <w:suppressAutoHyphens/>
              <w:spacing w:before="90" w:after="54" w:line="240" w:lineRule="auto"/>
              <w:jc w:val="center"/>
              <w:rPr>
                <w:rFonts w:ascii="Times New Roman" w:hAnsi="Times New Roman" w:eastAsia="Times New Roman" w:cs="Times New Roman"/>
                <w:b/>
                <w:i/>
                <w:spacing w:val="-3"/>
                <w:sz w:val="26"/>
                <w:szCs w:val="20"/>
                <w:lang w:eastAsia="es-ES"/>
              </w:rPr>
            </w:pPr>
            <w:r>
              <w:rPr>
                <w:rFonts w:ascii="Times New Roman" w:hAnsi="Times New Roman" w:eastAsia="Times New Roman" w:cs="Times New Roman"/>
                <w:b/>
                <w:i/>
                <w:spacing w:val="-3"/>
                <w:sz w:val="26"/>
                <w:szCs w:val="20"/>
                <w:lang w:eastAsia="es-ES"/>
              </w:rPr>
              <w:t xml:space="preserve">Opinión on </w:t>
            </w:r>
            <w:r>
              <w:rPr>
                <w:rFonts w:ascii="Times New Roman" w:hAnsi="Times New Roman" w:eastAsia="Times New Roman" w:cs="Times New Roman"/>
                <w:b/>
                <w:sz w:val="24"/>
                <w:szCs w:val="20"/>
                <w:lang w:eastAsia="es-ES"/>
              </w:rPr>
              <w:t>(</w:t>
            </w:r>
            <w:r>
              <w:rPr>
                <w:rFonts w:ascii="Times New Roman" w:hAnsi="Times New Roman" w:eastAsia="Times New Roman" w:cs="Times New Roman"/>
                <w:spacing w:val="-3"/>
                <w:sz w:val="24"/>
                <w:szCs w:val="20"/>
                <w:lang w:eastAsia="es-ES"/>
              </w:rPr>
              <w:t>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rPr>
          <w:cantSplit/>
        </w:trPr>
        <w:tc>
          <w:tcPr>
            <w:tcW w:w="1134" w:type="dxa"/>
          </w:tcPr>
          <w:p>
            <w:pPr>
              <w:tabs>
                <w:tab w:val="left" w:pos="-720"/>
              </w:tabs>
              <w:suppressAutoHyphens/>
              <w:spacing w:before="90"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1</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2</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3</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4</w:t>
            </w:r>
          </w:p>
          <w:p>
            <w:pPr>
              <w:tabs>
                <w:tab w:val="left" w:pos="-720"/>
              </w:tabs>
              <w:suppressAutoHyphens/>
              <w:spacing w:after="54"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5</w:t>
            </w:r>
          </w:p>
          <w:p>
            <w:pPr>
              <w:tabs>
                <w:tab w:val="left" w:pos="-720"/>
              </w:tabs>
              <w:suppressAutoHyphens/>
              <w:spacing w:after="54"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6</w:t>
            </w:r>
          </w:p>
        </w:tc>
        <w:tc>
          <w:tcPr>
            <w:tcW w:w="4536" w:type="dxa"/>
          </w:tcPr>
          <w:p>
            <w:pPr>
              <w:tabs>
                <w:tab w:val="left" w:pos="-720"/>
              </w:tabs>
              <w:suppressAutoHyphens/>
              <w:spacing w:before="90"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[60.000 , 65.000]</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[55.000 , 75.000]</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[55.000 , 70.000]</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[50.000 , 60.000, 70.000]</w:t>
            </w:r>
          </w:p>
          <w:p>
            <w:pPr>
              <w:tabs>
                <w:tab w:val="left" w:pos="-720"/>
              </w:tabs>
              <w:suppressAutoHyphens/>
              <w:spacing w:after="54"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[60.000 , 74.000]</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[65.000 , 70.000, 75.000]</w:t>
            </w:r>
          </w:p>
        </w:tc>
      </w:tr>
    </w:tbl>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The reading of this table would be the following. Expert 1 considers that (Ḡ) will be in the interval [60,000, 65,000] for the company analyzed, under market conditions and considering all the existing variables. While the number 4 prefers to express its opinion through a fuzzy triangular number, considering that in a normal situation the intangible goodwill is quantified at 60,000 euros (level of presumption 1), but the more uncertainty increases, the latter may reach take values between [50,000, 70,000] (presumption level 0).</w:t>
      </w:r>
    </w:p>
    <w:p>
      <w:pPr>
        <w:rPr>
          <w:rFonts w:ascii="Times New Roman" w:hAnsi="Times New Roman" w:cs="Times New Roman"/>
          <w:sz w:val="24"/>
          <w:szCs w:val="24"/>
          <w:lang w:val="en-US"/>
        </w:rPr>
      </w:pPr>
      <w:r>
        <w:rPr>
          <w:rFonts w:ascii="Times New Roman" w:hAnsi="Times New Roman" w:cs="Times New Roman"/>
          <w:sz w:val="24"/>
          <w:szCs w:val="24"/>
          <w:lang w:val="en-US"/>
        </w:rPr>
        <w:t>Transformed the opinions of experts in trusted triplets the previous table will be as follows:</w:t>
      </w:r>
    </w:p>
    <w:tbl>
      <w:tblPr>
        <w:tblStyle w:val="6"/>
        <w:tblW w:w="5812" w:type="dxa"/>
        <w:tblInd w:w="13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
      <w:tblGrid>
        <w:gridCol w:w="1134"/>
        <w:gridCol w:w="46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rPr>
          <w:cantSplit/>
        </w:trPr>
        <w:tc>
          <w:tcPr>
            <w:tcW w:w="1134" w:type="dxa"/>
          </w:tcPr>
          <w:p>
            <w:pPr>
              <w:tabs>
                <w:tab w:val="left" w:pos="-720"/>
              </w:tabs>
              <w:suppressAutoHyphens/>
              <w:spacing w:before="90" w:after="54" w:line="240" w:lineRule="auto"/>
              <w:jc w:val="center"/>
              <w:rPr>
                <w:rFonts w:ascii="Times New Roman" w:hAnsi="Times New Roman" w:eastAsia="Times New Roman" w:cs="Times New Roman"/>
                <w:b/>
                <w:i/>
                <w:spacing w:val="-3"/>
                <w:sz w:val="26"/>
                <w:szCs w:val="20"/>
                <w:lang w:eastAsia="es-ES"/>
              </w:rPr>
            </w:pPr>
            <w:r>
              <w:rPr>
                <w:rFonts w:ascii="Times New Roman" w:hAnsi="Times New Roman" w:eastAsia="Times New Roman" w:cs="Times New Roman"/>
                <w:b/>
                <w:i/>
                <w:spacing w:val="-3"/>
                <w:sz w:val="26"/>
                <w:szCs w:val="20"/>
                <w:lang w:eastAsia="es-ES"/>
              </w:rPr>
              <w:t>Nº Exp.</w:t>
            </w:r>
          </w:p>
        </w:tc>
        <w:tc>
          <w:tcPr>
            <w:tcW w:w="4678" w:type="dxa"/>
          </w:tcPr>
          <w:p>
            <w:pPr>
              <w:tabs>
                <w:tab w:val="left" w:pos="-720"/>
              </w:tabs>
              <w:suppressAutoHyphens/>
              <w:spacing w:before="90" w:after="54" w:line="240" w:lineRule="auto"/>
              <w:jc w:val="center"/>
              <w:rPr>
                <w:rFonts w:ascii="Times New Roman" w:hAnsi="Times New Roman" w:eastAsia="Times New Roman" w:cs="Times New Roman"/>
                <w:b/>
                <w:i/>
                <w:spacing w:val="-3"/>
                <w:sz w:val="26"/>
                <w:szCs w:val="20"/>
                <w:lang w:eastAsia="es-ES"/>
              </w:rPr>
            </w:pPr>
            <w:r>
              <w:rPr>
                <w:rFonts w:ascii="Times New Roman" w:hAnsi="Times New Roman" w:eastAsia="Times New Roman" w:cs="Times New Roman"/>
                <w:b/>
                <w:i/>
                <w:spacing w:val="-3"/>
                <w:sz w:val="26"/>
                <w:szCs w:val="20"/>
                <w:lang w:eastAsia="es-ES"/>
              </w:rPr>
              <w:t xml:space="preserve">Opinion on </w:t>
            </w:r>
            <w:r>
              <w:rPr>
                <w:rFonts w:ascii="Times New Roman" w:hAnsi="Times New Roman" w:eastAsia="Times New Roman" w:cs="Times New Roman"/>
                <w:b/>
                <w:sz w:val="24"/>
                <w:szCs w:val="20"/>
                <w:lang w:eastAsia="es-ES"/>
              </w:rPr>
              <w:t>(</w:t>
            </w:r>
            <w:r>
              <w:rPr>
                <w:rFonts w:ascii="Times New Roman" w:hAnsi="Times New Roman" w:eastAsia="Times New Roman" w:cs="Times New Roman"/>
                <w:spacing w:val="-3"/>
                <w:sz w:val="24"/>
                <w:szCs w:val="20"/>
                <w:lang w:eastAsia="es-ES"/>
              </w:rPr>
              <w:t>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rPr>
          <w:cantSplit/>
        </w:trPr>
        <w:tc>
          <w:tcPr>
            <w:tcW w:w="1134" w:type="dxa"/>
          </w:tcPr>
          <w:p>
            <w:pPr>
              <w:tabs>
                <w:tab w:val="left" w:pos="-720"/>
              </w:tabs>
              <w:suppressAutoHyphens/>
              <w:spacing w:before="90"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1</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2</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3</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4</w:t>
            </w:r>
          </w:p>
          <w:p>
            <w:pPr>
              <w:tabs>
                <w:tab w:val="left" w:pos="-720"/>
              </w:tabs>
              <w:suppressAutoHyphens/>
              <w:spacing w:after="54"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5</w:t>
            </w:r>
          </w:p>
          <w:p>
            <w:pPr>
              <w:tabs>
                <w:tab w:val="left" w:pos="-720"/>
              </w:tabs>
              <w:suppressAutoHyphens/>
              <w:spacing w:after="54"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6</w:t>
            </w:r>
          </w:p>
        </w:tc>
        <w:tc>
          <w:tcPr>
            <w:tcW w:w="4678" w:type="dxa"/>
          </w:tcPr>
          <w:p>
            <w:pPr>
              <w:tabs>
                <w:tab w:val="left" w:pos="-720"/>
              </w:tabs>
              <w:suppressAutoHyphens/>
              <w:spacing w:before="90"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[60.000 , [60.000, 65.000], 65.000]</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[55.000 , [55.000, 75.000], 75.000]</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[55.000 , [55.000, 70.000], 70.000]</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[50.000, [60.000, 60.000], 70.000]</w:t>
            </w:r>
          </w:p>
          <w:p>
            <w:pPr>
              <w:tabs>
                <w:tab w:val="left" w:pos="-720"/>
              </w:tabs>
              <w:suppressAutoHyphens/>
              <w:spacing w:after="54"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[60.000, [60.000, 74.000], 74.000]</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[65.000 , [70.000, 70.000], 75.000]</w:t>
            </w:r>
          </w:p>
        </w:tc>
      </w:tr>
    </w:tbl>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4.1.3.- First approximation to the value of the intangible (Ḡ).</w:t>
      </w:r>
    </w:p>
    <w:p>
      <w:pPr>
        <w:rPr>
          <w:rFonts w:ascii="Times New Roman" w:hAnsi="Times New Roman" w:cs="Times New Roman"/>
          <w:sz w:val="24"/>
          <w:szCs w:val="24"/>
          <w:lang w:val="en-US"/>
        </w:rPr>
      </w:pPr>
      <w:r>
        <w:rPr>
          <w:rFonts w:ascii="Times New Roman" w:hAnsi="Times New Roman" w:cs="Times New Roman"/>
          <w:sz w:val="24"/>
          <w:szCs w:val="24"/>
          <w:lang w:val="en-US"/>
        </w:rPr>
        <w:t>In order to improve the information, we proceed to treat the results obtained by calculating its arithmetic mean, if all the experts inspire the same degree of confidence, or their mathematical hope, in the opposite case. The result will be a fuzzy number, which will inform about the approximate values ​​to be reached by the variables analyzed.</w:t>
      </w:r>
    </w:p>
    <w:p>
      <w:pPr>
        <w:rPr>
          <w:rFonts w:ascii="Times New Roman" w:hAnsi="Times New Roman" w:cs="Times New Roman"/>
          <w:sz w:val="24"/>
          <w:szCs w:val="24"/>
          <w:lang w:val="en-US"/>
        </w:rPr>
      </w:pPr>
      <w:r>
        <w:rPr>
          <w:rFonts w:ascii="Times New Roman" w:hAnsi="Times New Roman" w:cs="Times New Roman"/>
          <w:sz w:val="24"/>
          <w:szCs w:val="24"/>
          <w:lang w:val="en-US"/>
        </w:rPr>
        <w:t>In this way, applying the proposed methodology to the proposed example, and assuming a similar confidence level in all the experts, the arithmetic mean of the estimated values ​​will be calculated next:</w:t>
      </w:r>
    </w:p>
    <w:p>
      <w:pPr>
        <w:rPr>
          <w:rFonts w:ascii="Times New Roman" w:hAnsi="Times New Roman" w:cs="Times New Roman"/>
          <w:sz w:val="24"/>
          <w:szCs w:val="24"/>
          <w:lang w:val="en-US"/>
        </w:rPr>
      </w:pPr>
      <w:r>
        <w:rPr>
          <w:rFonts w:ascii="Times New Roman" w:hAnsi="Times New Roman" w:cs="Times New Roman"/>
          <w:sz w:val="24"/>
          <w:szCs w:val="24"/>
          <w:lang w:val="en-US"/>
        </w:rPr>
        <w:t>M (Ḡ) = 1/6 * ([60,000, [60,000, 65,000], 65,000] + [55,000, [55,000, 75,000], 75,000] + [55,000, [55,000, 70,000], 70,000] + [50,000, [ 60,000, 60,000], 70,000] + [60,000, [60,000, 74,000], 74,000] + [65,000, [70,000, 70,000], 75,000]) = [57,500, [60,000, 69,000], 71,500]</w:t>
      </w:r>
    </w:p>
    <w:p>
      <w:pPr>
        <w:rPr>
          <w:rFonts w:ascii="Times New Roman" w:hAnsi="Times New Roman" w:cs="Times New Roman"/>
          <w:sz w:val="24"/>
          <w:szCs w:val="24"/>
          <w:lang w:val="en-US"/>
        </w:rPr>
      </w:pPr>
      <w:r>
        <w:rPr>
          <w:rFonts w:ascii="Times New Roman" w:hAnsi="Times New Roman" w:cs="Times New Roman"/>
          <w:sz w:val="24"/>
          <w:szCs w:val="24"/>
          <w:lang w:val="en-US"/>
        </w:rPr>
        <w:t>The result obtained is a trapezoid fuzzy number, according to which, it is estimated that the variable (Ḡ) will oscillate, in the case of maximum uncertainty, in the interval [57,500, 71,500], with the maximum possibility level being the interval [60,000, 69,000].</w:t>
      </w:r>
    </w:p>
    <w:p>
      <w:pPr>
        <w:rPr>
          <w:rFonts w:ascii="Times New Roman" w:hAnsi="Times New Roman" w:cs="Times New Roman"/>
          <w:sz w:val="24"/>
          <w:szCs w:val="24"/>
          <w:lang w:val="en-US"/>
        </w:rPr>
      </w:pPr>
      <w:r>
        <w:rPr>
          <w:rFonts w:ascii="Times New Roman" w:hAnsi="Times New Roman" w:cs="Times New Roman"/>
          <w:sz w:val="24"/>
          <w:szCs w:val="24"/>
          <w:lang w:val="en-US"/>
        </w:rPr>
        <w:t>4.1.4.- Application of the Expertise Method.</w:t>
      </w:r>
    </w:p>
    <w:p>
      <w:pPr>
        <w:rPr>
          <w:rFonts w:ascii="Times New Roman" w:hAnsi="Times New Roman" w:cs="Times New Roman"/>
          <w:sz w:val="24"/>
          <w:szCs w:val="24"/>
          <w:lang w:val="en-US"/>
        </w:rPr>
      </w:pPr>
      <w:r>
        <w:rPr>
          <w:rFonts w:ascii="Times New Roman" w:hAnsi="Times New Roman" w:cs="Times New Roman"/>
          <w:sz w:val="24"/>
          <w:szCs w:val="24"/>
          <w:lang w:val="en-US"/>
        </w:rPr>
        <w:t>Subsequently, and in order to provide consistency to the analysis carried out by the experts initially, the results obtained are subjected to counter-activation. The counter-optics consists in asking new experts, different from those who made the first expertization, to pronounce on the opinions of the first experts, thus increasing the objectivity of the resulting values. Although there are several methods of counterexpertizaje (Kaufmannn and Gil Aluja, 1.987: 115), for its simplicity and operability, we consider especially interesting for our purposes the so-called Method of Expertise.</w:t>
      </w:r>
    </w:p>
    <w:p>
      <w:pPr>
        <w:rPr>
          <w:rFonts w:ascii="Times New Roman" w:hAnsi="Times New Roman" w:cs="Times New Roman"/>
          <w:sz w:val="24"/>
          <w:szCs w:val="24"/>
          <w:lang w:val="en-US"/>
        </w:rPr>
      </w:pPr>
      <w:r>
        <w:rPr>
          <w:rFonts w:ascii="Times New Roman" w:hAnsi="Times New Roman" w:cs="Times New Roman"/>
          <w:sz w:val="24"/>
          <w:szCs w:val="24"/>
          <w:lang w:val="en-US"/>
        </w:rPr>
        <w:t>The Expertise Method is simply to summarize the opinions expressed by the experts in an interval, and submit it to a new expertization. In this way, the opinions will be even more focused, reducing the amplitude of said interval, and therefore, the uncertainty and subjectivity that every opinion has implied. As a consequence of the process, an Expert will be obtained, which will reflect the opinions of the new specialists.</w:t>
      </w:r>
    </w:p>
    <w:p>
      <w:pPr>
        <w:rPr>
          <w:rFonts w:ascii="Times New Roman" w:hAnsi="Times New Roman" w:cs="Times New Roman"/>
          <w:sz w:val="24"/>
          <w:szCs w:val="24"/>
          <w:lang w:val="en-US"/>
        </w:rPr>
      </w:pPr>
      <w:r>
        <w:rPr>
          <w:rFonts w:ascii="Times New Roman" w:hAnsi="Times New Roman" w:cs="Times New Roman"/>
          <w:sz w:val="24"/>
          <w:szCs w:val="24"/>
          <w:lang w:val="en-US"/>
        </w:rPr>
        <w:t>Returning to the proposed example, in order to improve the estimates of the previous six experts, the broader interval obtained in the third stage is subjected to counter-learning through the Method of Expertise. For this, five new specialists are used who will adopt the following semantic correspondence:</w:t>
      </w:r>
    </w:p>
    <w:tbl>
      <w:tblPr>
        <w:tblStyle w:val="6"/>
        <w:tblW w:w="5386" w:type="dxa"/>
        <w:tblInd w:w="168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20" w:type="dxa"/>
          <w:bottom w:w="0" w:type="dxa"/>
          <w:right w:w="120" w:type="dxa"/>
        </w:tblCellMar>
      </w:tblPr>
      <w:tblGrid>
        <w:gridCol w:w="567"/>
        <w:gridCol w:w="4819"/>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20" w:type="dxa"/>
            <w:bottom w:w="0" w:type="dxa"/>
            <w:right w:w="120" w:type="dxa"/>
          </w:tblCellMar>
        </w:tblPrEx>
        <w:tc>
          <w:tcPr>
            <w:tcW w:w="567" w:type="dxa"/>
          </w:tcPr>
          <w:p>
            <w:pPr>
              <w:tabs>
                <w:tab w:val="left" w:pos="-720"/>
              </w:tabs>
              <w:suppressAutoHyphens/>
              <w:spacing w:before="90"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0,1</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0,2</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0,3</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0,4</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0,5</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0,6</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0,7</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0,8</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0,9</w:t>
            </w:r>
          </w:p>
          <w:p>
            <w:pPr>
              <w:tabs>
                <w:tab w:val="left" w:pos="-720"/>
              </w:tabs>
              <w:suppressAutoHyphens/>
              <w:spacing w:after="54"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1</w:t>
            </w:r>
          </w:p>
        </w:tc>
        <w:tc>
          <w:tcPr>
            <w:tcW w:w="4819" w:type="dxa"/>
          </w:tcPr>
          <w:p>
            <w:pPr>
              <w:tabs>
                <w:tab w:val="left" w:pos="-720"/>
              </w:tabs>
              <w:suppressAutoHyphens/>
              <w:spacing w:before="90" w:after="0" w:line="240" w:lineRule="auto"/>
              <w:rPr>
                <w:rFonts w:ascii="Times New Roman" w:hAnsi="Times New Roman" w:eastAsia="Times New Roman" w:cs="Times New Roman"/>
                <w:spacing w:val="-3"/>
                <w:sz w:val="26"/>
                <w:szCs w:val="20"/>
                <w:lang w:val="en-US" w:eastAsia="es-ES"/>
              </w:rPr>
            </w:pPr>
            <w:r>
              <w:rPr>
                <w:rFonts w:ascii="Times New Roman" w:hAnsi="Times New Roman" w:eastAsia="Times New Roman" w:cs="Times New Roman"/>
                <w:spacing w:val="-3"/>
                <w:sz w:val="26"/>
                <w:szCs w:val="20"/>
                <w:lang w:val="en-US" w:eastAsia="es-ES"/>
              </w:rPr>
              <w:t>is correct 57.500</w:t>
            </w:r>
          </w:p>
          <w:p>
            <w:pPr>
              <w:tabs>
                <w:tab w:val="left" w:pos="-720"/>
              </w:tabs>
              <w:suppressAutoHyphens/>
              <w:spacing w:after="0" w:line="240" w:lineRule="auto"/>
              <w:rPr>
                <w:rFonts w:ascii="Times New Roman" w:hAnsi="Times New Roman" w:eastAsia="Times New Roman" w:cs="Times New Roman"/>
                <w:spacing w:val="-3"/>
                <w:sz w:val="26"/>
                <w:szCs w:val="20"/>
                <w:lang w:val="en-US" w:eastAsia="es-ES"/>
              </w:rPr>
            </w:pPr>
            <w:r>
              <w:rPr>
                <w:rFonts w:ascii="Times New Roman" w:hAnsi="Times New Roman" w:eastAsia="Times New Roman" w:cs="Times New Roman"/>
                <w:spacing w:val="-3"/>
                <w:sz w:val="26"/>
                <w:szCs w:val="20"/>
                <w:lang w:val="en-US" w:eastAsia="es-ES"/>
              </w:rPr>
              <w:t>practicaly 57.500</w:t>
            </w:r>
          </w:p>
          <w:p>
            <w:pPr>
              <w:tabs>
                <w:tab w:val="left" w:pos="-720"/>
              </w:tabs>
              <w:suppressAutoHyphens/>
              <w:spacing w:after="0" w:line="240" w:lineRule="auto"/>
              <w:rPr>
                <w:rFonts w:ascii="Times New Roman" w:hAnsi="Times New Roman" w:eastAsia="Times New Roman" w:cs="Times New Roman"/>
                <w:spacing w:val="-3"/>
                <w:sz w:val="26"/>
                <w:szCs w:val="20"/>
                <w:lang w:val="en-US" w:eastAsia="es-ES"/>
              </w:rPr>
            </w:pPr>
            <w:r>
              <w:rPr>
                <w:rFonts w:ascii="Times New Roman" w:hAnsi="Times New Roman" w:eastAsia="Times New Roman" w:cs="Times New Roman"/>
                <w:spacing w:val="-3"/>
                <w:sz w:val="26"/>
                <w:szCs w:val="20"/>
                <w:lang w:val="en-US" w:eastAsia="es-ES"/>
              </w:rPr>
              <w:t>almost 57.500</w:t>
            </w:r>
          </w:p>
          <w:p>
            <w:pPr>
              <w:tabs>
                <w:tab w:val="left" w:pos="-720"/>
              </w:tabs>
              <w:suppressAutoHyphens/>
              <w:spacing w:after="0" w:line="240" w:lineRule="auto"/>
              <w:rPr>
                <w:rFonts w:ascii="Times New Roman" w:hAnsi="Times New Roman" w:eastAsia="Times New Roman" w:cs="Times New Roman"/>
                <w:spacing w:val="-3"/>
                <w:sz w:val="26"/>
                <w:szCs w:val="20"/>
                <w:lang w:val="en-US" w:eastAsia="es-ES"/>
              </w:rPr>
            </w:pPr>
            <w:r>
              <w:rPr>
                <w:rFonts w:ascii="Times New Roman" w:hAnsi="Times New Roman" w:eastAsia="Times New Roman" w:cs="Times New Roman"/>
                <w:spacing w:val="-3"/>
                <w:sz w:val="26"/>
                <w:szCs w:val="20"/>
                <w:lang w:val="en-US" w:eastAsia="es-ES"/>
              </w:rPr>
              <w:t>close to 57.500</w:t>
            </w:r>
          </w:p>
          <w:p>
            <w:pPr>
              <w:tabs>
                <w:tab w:val="left" w:pos="-720"/>
              </w:tabs>
              <w:suppressAutoHyphens/>
              <w:spacing w:after="0" w:line="240" w:lineRule="auto"/>
              <w:rPr>
                <w:rFonts w:ascii="Times New Roman" w:hAnsi="Times New Roman" w:eastAsia="Times New Roman" w:cs="Times New Roman"/>
                <w:spacing w:val="-3"/>
                <w:sz w:val="26"/>
                <w:szCs w:val="20"/>
                <w:lang w:val="en-US" w:eastAsia="es-ES"/>
              </w:rPr>
            </w:pPr>
            <w:r>
              <w:rPr>
                <w:rFonts w:ascii="Times New Roman" w:hAnsi="Times New Roman" w:eastAsia="Times New Roman" w:cs="Times New Roman"/>
                <w:spacing w:val="-3"/>
                <w:sz w:val="26"/>
                <w:szCs w:val="20"/>
                <w:lang w:val="en-US" w:eastAsia="es-ES"/>
              </w:rPr>
              <w:t>close to 57.500 than to 71.500</w:t>
            </w:r>
          </w:p>
          <w:p>
            <w:pPr>
              <w:tabs>
                <w:tab w:val="left" w:pos="-720"/>
              </w:tabs>
              <w:suppressAutoHyphens/>
              <w:spacing w:after="0" w:line="240" w:lineRule="auto"/>
              <w:rPr>
                <w:rFonts w:ascii="Times New Roman" w:hAnsi="Times New Roman" w:eastAsia="Times New Roman" w:cs="Times New Roman"/>
                <w:spacing w:val="-3"/>
                <w:sz w:val="26"/>
                <w:szCs w:val="20"/>
                <w:lang w:val="en-US" w:eastAsia="es-ES"/>
              </w:rPr>
            </w:pPr>
            <w:r>
              <w:rPr>
                <w:rFonts w:ascii="Times New Roman" w:hAnsi="Times New Roman" w:eastAsia="Times New Roman" w:cs="Times New Roman"/>
                <w:spacing w:val="-3"/>
                <w:sz w:val="26"/>
                <w:szCs w:val="20"/>
                <w:lang w:val="en-US" w:eastAsia="es-ES"/>
              </w:rPr>
              <w:t>as close to 57.500 as 71.500</w:t>
            </w:r>
          </w:p>
          <w:p>
            <w:pPr>
              <w:tabs>
                <w:tab w:val="left" w:pos="-720"/>
              </w:tabs>
              <w:suppressAutoHyphens/>
              <w:spacing w:after="0" w:line="240" w:lineRule="auto"/>
              <w:rPr>
                <w:rFonts w:ascii="Times New Roman" w:hAnsi="Times New Roman" w:eastAsia="Times New Roman" w:cs="Times New Roman"/>
                <w:spacing w:val="-3"/>
                <w:sz w:val="26"/>
                <w:szCs w:val="20"/>
                <w:lang w:val="en-US" w:eastAsia="es-ES"/>
              </w:rPr>
            </w:pPr>
            <w:r>
              <w:rPr>
                <w:rFonts w:ascii="Times New Roman" w:hAnsi="Times New Roman" w:eastAsia="Times New Roman" w:cs="Times New Roman"/>
                <w:spacing w:val="-3"/>
                <w:sz w:val="26"/>
                <w:szCs w:val="20"/>
                <w:lang w:val="en-US" w:eastAsia="es-ES"/>
              </w:rPr>
              <w:t>close to 71.500 than to 57.500</w:t>
            </w:r>
          </w:p>
          <w:p>
            <w:pPr>
              <w:tabs>
                <w:tab w:val="left" w:pos="-720"/>
              </w:tabs>
              <w:suppressAutoHyphens/>
              <w:spacing w:after="0" w:line="240" w:lineRule="auto"/>
              <w:rPr>
                <w:rFonts w:ascii="Times New Roman" w:hAnsi="Times New Roman" w:eastAsia="Times New Roman" w:cs="Times New Roman"/>
                <w:spacing w:val="-3"/>
                <w:sz w:val="26"/>
                <w:szCs w:val="20"/>
                <w:lang w:val="en-US" w:eastAsia="es-ES"/>
              </w:rPr>
            </w:pPr>
            <w:r>
              <w:rPr>
                <w:rFonts w:ascii="Times New Roman" w:hAnsi="Times New Roman" w:eastAsia="Times New Roman" w:cs="Times New Roman"/>
                <w:spacing w:val="-3"/>
                <w:sz w:val="26"/>
                <w:szCs w:val="20"/>
                <w:lang w:val="en-US" w:eastAsia="es-ES"/>
              </w:rPr>
              <w:t>close to 71.500</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almost 71.500</w:t>
            </w:r>
          </w:p>
          <w:p>
            <w:pPr>
              <w:tabs>
                <w:tab w:val="left" w:pos="-720"/>
              </w:tabs>
              <w:suppressAutoHyphens/>
              <w:spacing w:after="0"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practicaly 71.500</w:t>
            </w:r>
          </w:p>
          <w:p>
            <w:pPr>
              <w:tabs>
                <w:tab w:val="left" w:pos="-720"/>
              </w:tabs>
              <w:suppressAutoHyphens/>
              <w:spacing w:after="294" w:line="240" w:lineRule="auto"/>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is correct 71.500</w:t>
            </w:r>
          </w:p>
        </w:tc>
      </w:tr>
    </w:tbl>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The use of this methodology allows the expert to represent his thoughts, thus improving the sensitivity of the analysis to be carried out.</w:t>
      </w:r>
    </w:p>
    <w:p>
      <w:pPr>
        <w:rPr>
          <w:rFonts w:ascii="Times New Roman" w:hAnsi="Times New Roman" w:cs="Times New Roman"/>
          <w:sz w:val="24"/>
          <w:szCs w:val="24"/>
          <w:lang w:val="en-US"/>
        </w:rPr>
      </w:pPr>
      <w:r>
        <w:rPr>
          <w:rFonts w:ascii="Times New Roman" w:hAnsi="Times New Roman" w:cs="Times New Roman"/>
          <w:sz w:val="24"/>
          <w:szCs w:val="24"/>
          <w:lang w:val="en-US"/>
        </w:rPr>
        <w:t>Suppose that the results obtained were the following:</w:t>
      </w:r>
    </w:p>
    <w:tbl>
      <w:tblPr>
        <w:tblStyle w:val="6"/>
        <w:tblW w:w="5386" w:type="dxa"/>
        <w:tblInd w:w="16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
      <w:tblGrid>
        <w:gridCol w:w="1275"/>
        <w:gridCol w:w="41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c>
          <w:tcPr>
            <w:tcW w:w="1275" w:type="dxa"/>
          </w:tcPr>
          <w:p>
            <w:pPr>
              <w:tabs>
                <w:tab w:val="left" w:pos="-720"/>
              </w:tabs>
              <w:suppressAutoHyphens/>
              <w:spacing w:before="90" w:after="54" w:line="240" w:lineRule="auto"/>
              <w:jc w:val="center"/>
              <w:rPr>
                <w:rFonts w:ascii="Times New Roman" w:hAnsi="Times New Roman" w:eastAsia="Times New Roman" w:cs="Times New Roman"/>
                <w:b/>
                <w:i/>
                <w:spacing w:val="-3"/>
                <w:sz w:val="26"/>
                <w:szCs w:val="20"/>
                <w:lang w:eastAsia="es-ES"/>
              </w:rPr>
            </w:pPr>
            <w:r>
              <w:rPr>
                <w:rFonts w:ascii="Times New Roman" w:hAnsi="Times New Roman" w:eastAsia="Times New Roman" w:cs="Times New Roman"/>
                <w:b/>
                <w:i/>
                <w:spacing w:val="-3"/>
                <w:sz w:val="26"/>
                <w:szCs w:val="20"/>
                <w:lang w:eastAsia="es-ES"/>
              </w:rPr>
              <w:t>Nº new expert</w:t>
            </w:r>
          </w:p>
        </w:tc>
        <w:tc>
          <w:tcPr>
            <w:tcW w:w="4111" w:type="dxa"/>
          </w:tcPr>
          <w:p>
            <w:pPr>
              <w:tabs>
                <w:tab w:val="left" w:pos="-720"/>
              </w:tabs>
              <w:suppressAutoHyphens/>
              <w:spacing w:before="90" w:after="54" w:line="240" w:lineRule="auto"/>
              <w:jc w:val="center"/>
              <w:rPr>
                <w:rFonts w:ascii="Times New Roman" w:hAnsi="Times New Roman" w:eastAsia="Times New Roman" w:cs="Times New Roman"/>
                <w:b/>
                <w:i/>
                <w:spacing w:val="-3"/>
                <w:sz w:val="26"/>
                <w:szCs w:val="20"/>
                <w:lang w:eastAsia="es-ES"/>
              </w:rPr>
            </w:pPr>
            <w:r>
              <w:rPr>
                <w:rFonts w:ascii="Times New Roman" w:hAnsi="Times New Roman" w:eastAsia="Times New Roman" w:cs="Times New Roman"/>
                <w:b/>
                <w:i/>
                <w:spacing w:val="-3"/>
                <w:sz w:val="26"/>
                <w:szCs w:val="20"/>
                <w:lang w:eastAsia="es-ES"/>
              </w:rPr>
              <w:t>Opinion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c>
          <w:tcPr>
            <w:tcW w:w="1275" w:type="dxa"/>
          </w:tcPr>
          <w:p>
            <w:pPr>
              <w:tabs>
                <w:tab w:val="left" w:pos="-720"/>
              </w:tabs>
              <w:suppressAutoHyphens/>
              <w:spacing w:before="90"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1</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2</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3</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4</w:t>
            </w:r>
          </w:p>
          <w:p>
            <w:pPr>
              <w:tabs>
                <w:tab w:val="left" w:pos="-720"/>
              </w:tabs>
              <w:suppressAutoHyphens/>
              <w:spacing w:after="54"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5</w:t>
            </w:r>
          </w:p>
        </w:tc>
        <w:tc>
          <w:tcPr>
            <w:tcW w:w="4111" w:type="dxa"/>
          </w:tcPr>
          <w:p>
            <w:pPr>
              <w:tabs>
                <w:tab w:val="left" w:pos="-720"/>
              </w:tabs>
              <w:suppressAutoHyphens/>
              <w:spacing w:before="90"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 xml:space="preserve"> 0,7</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 xml:space="preserve">0,6 </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[0,7 , 0,8 , 0,9 ]</w:t>
            </w:r>
          </w:p>
          <w:p>
            <w:pPr>
              <w:tabs>
                <w:tab w:val="left" w:pos="-720"/>
              </w:tabs>
              <w:suppressAutoHyphens/>
              <w:spacing w:after="0"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0,5</w:t>
            </w:r>
          </w:p>
          <w:p>
            <w:pPr>
              <w:tabs>
                <w:tab w:val="left" w:pos="-720"/>
              </w:tabs>
              <w:suppressAutoHyphens/>
              <w:spacing w:after="54" w:line="240" w:lineRule="auto"/>
              <w:jc w:val="center"/>
              <w:rPr>
                <w:rFonts w:ascii="Times New Roman" w:hAnsi="Times New Roman" w:eastAsia="Times New Roman" w:cs="Times New Roman"/>
                <w:spacing w:val="-3"/>
                <w:sz w:val="26"/>
                <w:szCs w:val="20"/>
                <w:lang w:eastAsia="es-ES"/>
              </w:rPr>
            </w:pPr>
            <w:r>
              <w:rPr>
                <w:rFonts w:ascii="Times New Roman" w:hAnsi="Times New Roman" w:eastAsia="Times New Roman" w:cs="Times New Roman"/>
                <w:spacing w:val="-3"/>
                <w:sz w:val="26"/>
                <w:szCs w:val="20"/>
                <w:lang w:eastAsia="es-ES"/>
              </w:rPr>
              <w:t>[0,5 , 0,6 , 0,7 ]</w:t>
            </w:r>
          </w:p>
        </w:tc>
      </w:tr>
    </w:tbl>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The previous table expresses the opinion of the new experts surveyed. For example, expert number 1 believes that the value of the intangible variable is close to 71,500 euros, while expert number 3 estimates that it will range between an amount close to 71,500 euros and practically 71,500 euros, with the most possible value being almost 71,500 euros .</w:t>
      </w:r>
    </w:p>
    <w:p>
      <w:pPr>
        <w:rPr>
          <w:rFonts w:ascii="Times New Roman" w:hAnsi="Times New Roman" w:cs="Times New Roman"/>
          <w:sz w:val="24"/>
          <w:szCs w:val="24"/>
          <w:lang w:val="en-US"/>
        </w:rPr>
      </w:pPr>
      <w:r>
        <w:rPr>
          <w:rFonts w:ascii="Times New Roman" w:hAnsi="Times New Roman" w:cs="Times New Roman"/>
          <w:sz w:val="24"/>
          <w:szCs w:val="24"/>
          <w:lang w:val="en-US"/>
        </w:rPr>
        <w:t>Once the opinions are collected, the corresponding Expert is built, for which the absolute frequencies will be determined first, then the relative frequencies will be calculated, and finally the inverse accumulated frequencies will be determined.</w:t>
      </w:r>
    </w:p>
    <w:p>
      <w:pPr>
        <w:rPr>
          <w:rFonts w:ascii="Times New Roman" w:hAnsi="Times New Roman" w:cs="Times New Roman"/>
          <w:sz w:val="24"/>
          <w:szCs w:val="24"/>
          <w:lang w:val="en-US"/>
        </w:rPr>
      </w:pPr>
      <w:r>
        <w:rPr>
          <w:rFonts w:ascii="Times New Roman" w:hAnsi="Times New Roman" w:cs="Times New Roman"/>
          <w:sz w:val="24"/>
          <w:szCs w:val="24"/>
          <w:lang w:val="en-US"/>
        </w:rPr>
        <w:t>To establish absolute frequencies, determine the number of times each value appears in the lower (Li) and upper (Ls) extremes of the interval, as well as in the center of the interval (Vc), since in our example opinions are expressed in triples of confidence.</w:t>
      </w:r>
    </w:p>
    <w:tbl>
      <w:tblPr>
        <w:tblStyle w:val="6"/>
        <w:tblW w:w="5383" w:type="dxa"/>
        <w:tblInd w:w="18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
      <w:tblGrid>
        <w:gridCol w:w="2183"/>
        <w:gridCol w:w="32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rPr>
          <w:trHeight w:val="633" w:hRule="atLeast"/>
        </w:trPr>
        <w:tc>
          <w:tcPr>
            <w:tcW w:w="2183" w:type="dxa"/>
          </w:tcPr>
          <w:p>
            <w:pPr>
              <w:tabs>
                <w:tab w:val="left" w:pos="-720"/>
              </w:tabs>
              <w:suppressAutoHyphens/>
              <w:spacing w:before="90" w:after="0" w:line="240" w:lineRule="auto"/>
              <w:jc w:val="center"/>
              <w:rPr>
                <w:rFonts w:ascii="Times New Roman" w:hAnsi="Times New Roman" w:eastAsia="Times New Roman" w:cs="Times New Roman"/>
                <w:b/>
                <w:i/>
                <w:spacing w:val="-3"/>
                <w:sz w:val="24"/>
                <w:szCs w:val="24"/>
                <w:lang w:eastAsia="es-ES"/>
              </w:rPr>
            </w:pPr>
            <w:r>
              <w:rPr>
                <w:rFonts w:ascii="Times New Roman" w:hAnsi="Times New Roman" w:eastAsia="Times New Roman" w:cs="Times New Roman"/>
                <w:b/>
                <w:i/>
                <w:spacing w:val="-3"/>
                <w:sz w:val="24"/>
                <w:szCs w:val="24"/>
                <w:lang w:val="en-US" w:eastAsia="es-ES"/>
              </w:rPr>
              <w:br w:type="page"/>
            </w:r>
            <w:r>
              <w:rPr>
                <w:rFonts w:ascii="Times New Roman" w:hAnsi="Times New Roman" w:eastAsia="Times New Roman" w:cs="Times New Roman"/>
                <w:b/>
                <w:i/>
                <w:spacing w:val="-3"/>
                <w:sz w:val="24"/>
                <w:szCs w:val="24"/>
                <w:lang w:eastAsia="es-ES"/>
              </w:rPr>
              <w:t>level of presumption</w:t>
            </w:r>
          </w:p>
        </w:tc>
        <w:tc>
          <w:tcPr>
            <w:tcW w:w="3200" w:type="dxa"/>
          </w:tcPr>
          <w:p>
            <w:pPr>
              <w:tabs>
                <w:tab w:val="left" w:pos="-720"/>
              </w:tabs>
              <w:suppressAutoHyphens/>
              <w:spacing w:before="90" w:after="54" w:line="240" w:lineRule="auto"/>
              <w:jc w:val="center"/>
              <w:rPr>
                <w:rFonts w:ascii="Times New Roman" w:hAnsi="Times New Roman" w:eastAsia="Times New Roman" w:cs="Times New Roman"/>
                <w:b/>
                <w:i/>
                <w:spacing w:val="-3"/>
                <w:sz w:val="24"/>
                <w:szCs w:val="24"/>
                <w:lang w:eastAsia="es-ES"/>
              </w:rPr>
            </w:pPr>
            <w:r>
              <w:rPr>
                <w:rFonts w:ascii="Times New Roman" w:hAnsi="Times New Roman" w:eastAsia="Times New Roman" w:cs="Times New Roman"/>
                <w:b/>
                <w:i/>
                <w:spacing w:val="-3"/>
                <w:sz w:val="24"/>
                <w:szCs w:val="24"/>
                <w:lang w:eastAsia="es-ES"/>
              </w:rPr>
              <w:t>absolute frequencies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rPr>
          <w:trHeight w:val="412" w:hRule="atLeast"/>
        </w:trPr>
        <w:tc>
          <w:tcPr>
            <w:tcW w:w="2183" w:type="dxa"/>
          </w:tcPr>
          <w:p>
            <w:pPr>
              <w:tabs>
                <w:tab w:val="left" w:pos="-720"/>
              </w:tabs>
              <w:suppressAutoHyphens/>
              <w:spacing w:before="90" w:after="54" w:line="240" w:lineRule="auto"/>
              <w:jc w:val="center"/>
              <w:rPr>
                <w:rFonts w:ascii="Times New Roman" w:hAnsi="Times New Roman" w:eastAsia="Times New Roman" w:cs="Times New Roman"/>
                <w:b/>
                <w:spacing w:val="-3"/>
                <w:sz w:val="24"/>
                <w:szCs w:val="24"/>
                <w:lang w:eastAsia="es-ES"/>
              </w:rPr>
            </w:pPr>
          </w:p>
        </w:tc>
        <w:tc>
          <w:tcPr>
            <w:tcW w:w="3200" w:type="dxa"/>
          </w:tcPr>
          <w:p>
            <w:pPr>
              <w:tabs>
                <w:tab w:val="left" w:pos="-720"/>
              </w:tabs>
              <w:suppressAutoHyphens/>
              <w:spacing w:before="90" w:after="54" w:line="240" w:lineRule="auto"/>
              <w:jc w:val="center"/>
              <w:rPr>
                <w:rFonts w:ascii="Times New Roman" w:hAnsi="Times New Roman" w:eastAsia="Times New Roman" w:cs="Times New Roman"/>
                <w:b/>
                <w:spacing w:val="-3"/>
                <w:sz w:val="24"/>
                <w:szCs w:val="24"/>
                <w:lang w:eastAsia="es-ES"/>
              </w:rPr>
            </w:pPr>
            <w:r>
              <w:rPr>
                <w:rFonts w:ascii="Times New Roman" w:hAnsi="Times New Roman" w:eastAsia="Times New Roman" w:cs="Times New Roman"/>
                <w:b/>
                <w:spacing w:val="-3"/>
                <w:sz w:val="24"/>
                <w:szCs w:val="24"/>
                <w:lang w:eastAsia="es-ES"/>
              </w:rPr>
              <w:t>Li  Vc  Ls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rPr>
          <w:trHeight w:val="3470" w:hRule="atLeast"/>
        </w:trPr>
        <w:tc>
          <w:tcPr>
            <w:tcW w:w="2183" w:type="dxa"/>
          </w:tcPr>
          <w:p>
            <w:pPr>
              <w:tabs>
                <w:tab w:val="left" w:pos="-720"/>
              </w:tabs>
              <w:suppressAutoHyphens/>
              <w:spacing w:before="90"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0,2</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0,3</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0,4</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0,5</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0,6</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0,7</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0,8</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0,9</w:t>
            </w:r>
          </w:p>
          <w:p>
            <w:pPr>
              <w:tabs>
                <w:tab w:val="left" w:pos="-720"/>
              </w:tabs>
              <w:suppressAutoHyphens/>
              <w:spacing w:after="54"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w:t>
            </w:r>
          </w:p>
        </w:tc>
        <w:tc>
          <w:tcPr>
            <w:tcW w:w="3200" w:type="dxa"/>
          </w:tcPr>
          <w:p>
            <w:pPr>
              <w:tabs>
                <w:tab w:val="left" w:pos="-720"/>
              </w:tabs>
              <w:suppressAutoHyphens/>
              <w:spacing w:before="90"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p>
            <w:pPr>
              <w:tabs>
                <w:tab w:val="left" w:pos="-720"/>
              </w:tabs>
              <w:suppressAutoHyphens/>
              <w:spacing w:before="90"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2    1    1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1    2    1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2    1    2</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0    1    0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0    0    1</w:t>
            </w:r>
          </w:p>
          <w:p>
            <w:pPr>
              <w:tabs>
                <w:tab w:val="left" w:pos="-720"/>
              </w:tabs>
              <w:suppressAutoHyphens/>
              <w:spacing w:after="54"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tc>
      </w:tr>
    </w:tbl>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In this way, the previous table of absolute frequencies indicates that the 0.6 appears twice as the central value of the interval, once as the upper end and another as the lower end, while for example the 0.9 only appears once as the extreme end. upper of the interval.</w:t>
      </w:r>
    </w:p>
    <w:p>
      <w:pPr>
        <w:rPr>
          <w:rFonts w:ascii="Times New Roman" w:hAnsi="Times New Roman" w:cs="Times New Roman"/>
          <w:sz w:val="24"/>
          <w:szCs w:val="24"/>
          <w:lang w:val="en-US"/>
        </w:rPr>
      </w:pPr>
      <w:r>
        <w:rPr>
          <w:rFonts w:ascii="Times New Roman" w:hAnsi="Times New Roman" w:cs="Times New Roman"/>
          <w:sz w:val="24"/>
          <w:szCs w:val="24"/>
          <w:lang w:val="en-US"/>
        </w:rPr>
        <w:t>Subsequently, we divide the absolute frequencies by the number of experts participating in the process in order to establish the relative frequencies.</w:t>
      </w:r>
    </w:p>
    <w:tbl>
      <w:tblPr>
        <w:tblStyle w:val="6"/>
        <w:tblW w:w="4677" w:type="dxa"/>
        <w:tblInd w:w="22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
      <w:tblGrid>
        <w:gridCol w:w="1559"/>
        <w:gridCol w:w="31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c>
          <w:tcPr>
            <w:tcW w:w="1559" w:type="dxa"/>
          </w:tcPr>
          <w:p>
            <w:pPr>
              <w:tabs>
                <w:tab w:val="left" w:pos="-720"/>
              </w:tabs>
              <w:suppressAutoHyphens/>
              <w:spacing w:before="90" w:after="0" w:line="240" w:lineRule="auto"/>
              <w:jc w:val="center"/>
              <w:rPr>
                <w:rFonts w:ascii="Times New Roman" w:hAnsi="Times New Roman" w:eastAsia="Times New Roman" w:cs="Times New Roman"/>
                <w:b/>
                <w:i/>
                <w:spacing w:val="-3"/>
                <w:sz w:val="24"/>
                <w:szCs w:val="24"/>
                <w:lang w:eastAsia="es-ES"/>
              </w:rPr>
            </w:pPr>
            <w:r>
              <w:rPr>
                <w:rFonts w:ascii="Times New Roman" w:hAnsi="Times New Roman" w:eastAsia="Times New Roman" w:cs="Times New Roman"/>
                <w:b/>
                <w:i/>
                <w:spacing w:val="-3"/>
                <w:sz w:val="24"/>
                <w:szCs w:val="24"/>
                <w:lang w:eastAsia="es-ES"/>
              </w:rPr>
              <w:t>level of presumption</w:t>
            </w:r>
          </w:p>
        </w:tc>
        <w:tc>
          <w:tcPr>
            <w:tcW w:w="3118" w:type="dxa"/>
          </w:tcPr>
          <w:p>
            <w:pPr>
              <w:tabs>
                <w:tab w:val="left" w:pos="-720"/>
              </w:tabs>
              <w:suppressAutoHyphens/>
              <w:spacing w:before="90" w:after="54" w:line="240" w:lineRule="auto"/>
              <w:jc w:val="center"/>
              <w:rPr>
                <w:rFonts w:ascii="Times New Roman" w:hAnsi="Times New Roman" w:eastAsia="Times New Roman" w:cs="Times New Roman"/>
                <w:b/>
                <w:i/>
                <w:spacing w:val="-3"/>
                <w:sz w:val="24"/>
                <w:szCs w:val="24"/>
                <w:lang w:eastAsia="es-ES"/>
              </w:rPr>
            </w:pPr>
            <w:r>
              <w:rPr>
                <w:rFonts w:ascii="Times New Roman" w:hAnsi="Times New Roman" w:eastAsia="Times New Roman" w:cs="Times New Roman"/>
                <w:b/>
                <w:i/>
                <w:spacing w:val="-3"/>
                <w:sz w:val="24"/>
                <w:szCs w:val="24"/>
                <w:lang w:eastAsia="es-ES"/>
              </w:rPr>
              <w:t>Relative frequencies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c>
          <w:tcPr>
            <w:tcW w:w="1559" w:type="dxa"/>
          </w:tcPr>
          <w:p>
            <w:pPr>
              <w:tabs>
                <w:tab w:val="left" w:pos="-720"/>
              </w:tabs>
              <w:suppressAutoHyphens/>
              <w:spacing w:before="90" w:after="54" w:line="240" w:lineRule="auto"/>
              <w:jc w:val="center"/>
              <w:rPr>
                <w:rFonts w:ascii="Times New Roman" w:hAnsi="Times New Roman" w:eastAsia="Times New Roman" w:cs="Times New Roman"/>
                <w:spacing w:val="-3"/>
                <w:sz w:val="24"/>
                <w:szCs w:val="24"/>
                <w:lang w:eastAsia="es-ES"/>
              </w:rPr>
            </w:pPr>
          </w:p>
        </w:tc>
        <w:tc>
          <w:tcPr>
            <w:tcW w:w="3118" w:type="dxa"/>
          </w:tcPr>
          <w:p>
            <w:pPr>
              <w:keepNext/>
              <w:tabs>
                <w:tab w:val="left" w:pos="-720"/>
              </w:tabs>
              <w:suppressAutoHyphens/>
              <w:spacing w:before="90" w:after="54" w:line="240" w:lineRule="auto"/>
              <w:jc w:val="center"/>
              <w:outlineLvl w:val="8"/>
              <w:rPr>
                <w:rFonts w:ascii="Times New Roman" w:hAnsi="Times New Roman" w:eastAsia="Times New Roman" w:cs="Times New Roman"/>
                <w:b/>
                <w:spacing w:val="-3"/>
                <w:sz w:val="24"/>
                <w:szCs w:val="24"/>
                <w:lang w:eastAsia="es-ES"/>
              </w:rPr>
            </w:pPr>
            <w:r>
              <w:rPr>
                <w:rFonts w:ascii="Times New Roman" w:hAnsi="Times New Roman" w:eastAsia="Times New Roman" w:cs="Times New Roman"/>
                <w:b/>
                <w:spacing w:val="-3"/>
                <w:sz w:val="24"/>
                <w:szCs w:val="24"/>
                <w:lang w:eastAsia="es-ES"/>
              </w:rPr>
              <w:t>Li  Vc  Ls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c>
          <w:tcPr>
            <w:tcW w:w="1559" w:type="dxa"/>
          </w:tcPr>
          <w:p>
            <w:pPr>
              <w:tabs>
                <w:tab w:val="left" w:pos="-720"/>
              </w:tabs>
              <w:suppressAutoHyphens/>
              <w:spacing w:before="90"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0,2</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0,3</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0,4</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0,5</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0,6</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0,7</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0,8</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0,9</w:t>
            </w:r>
          </w:p>
          <w:p>
            <w:pPr>
              <w:tabs>
                <w:tab w:val="left" w:pos="-720"/>
              </w:tabs>
              <w:suppressAutoHyphens/>
              <w:spacing w:after="54"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w:t>
            </w:r>
          </w:p>
        </w:tc>
        <w:tc>
          <w:tcPr>
            <w:tcW w:w="3118" w:type="dxa"/>
          </w:tcPr>
          <w:p>
            <w:pPr>
              <w:tabs>
                <w:tab w:val="left" w:pos="-720"/>
              </w:tabs>
              <w:suppressAutoHyphens/>
              <w:spacing w:before="90"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p>
            <w:pPr>
              <w:tabs>
                <w:tab w:val="left" w:pos="-720"/>
              </w:tabs>
              <w:suppressAutoHyphens/>
              <w:spacing w:before="90"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0,4   0,2   0,2</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0,2   0,4   0,2</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0,4   0,2   0,4</w:t>
            </w:r>
          </w:p>
          <w:p>
            <w:pPr>
              <w:tabs>
                <w:tab w:val="left" w:pos="-720"/>
              </w:tabs>
              <w:suppressAutoHyphens/>
              <w:spacing w:after="0" w:line="240" w:lineRule="auto"/>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               0    0,2    0</w:t>
            </w:r>
          </w:p>
          <w:p>
            <w:pPr>
              <w:tabs>
                <w:tab w:val="left" w:pos="-720"/>
              </w:tabs>
              <w:suppressAutoHyphens/>
              <w:spacing w:after="0" w:line="240" w:lineRule="auto"/>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               0     0     0,2</w:t>
            </w:r>
          </w:p>
          <w:p>
            <w:pPr>
              <w:tabs>
                <w:tab w:val="left" w:pos="-720"/>
              </w:tabs>
              <w:suppressAutoHyphens/>
              <w:spacing w:after="54" w:line="240" w:lineRule="auto"/>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               0     0      0</w:t>
            </w:r>
          </w:p>
        </w:tc>
      </w:tr>
    </w:tbl>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Now it is necessary to calculate the inverse accumulated functions, starting by accumulating from level 1 (from bottom to top), with which we will have already built the Expertón.</w:t>
      </w:r>
    </w:p>
    <w:tbl>
      <w:tblPr>
        <w:tblStyle w:val="6"/>
        <w:tblW w:w="5215" w:type="dxa"/>
        <w:tblInd w:w="12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
      <w:tblGrid>
        <w:gridCol w:w="1784"/>
        <w:gridCol w:w="34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rPr>
          <w:trHeight w:val="629" w:hRule="atLeast"/>
        </w:trPr>
        <w:tc>
          <w:tcPr>
            <w:tcW w:w="1784" w:type="dxa"/>
          </w:tcPr>
          <w:p>
            <w:pPr>
              <w:tabs>
                <w:tab w:val="left" w:pos="-720"/>
              </w:tabs>
              <w:suppressAutoHyphens/>
              <w:spacing w:before="90" w:after="0" w:line="240" w:lineRule="auto"/>
              <w:jc w:val="center"/>
              <w:rPr>
                <w:rFonts w:ascii="Times New Roman" w:hAnsi="Times New Roman" w:eastAsia="Times New Roman" w:cs="Times New Roman"/>
                <w:b/>
                <w:i/>
                <w:spacing w:val="-3"/>
                <w:sz w:val="24"/>
                <w:szCs w:val="24"/>
                <w:lang w:eastAsia="es-ES"/>
              </w:rPr>
            </w:pPr>
            <w:r>
              <w:rPr>
                <w:rFonts w:ascii="Times New Roman" w:hAnsi="Times New Roman" w:eastAsia="Times New Roman" w:cs="Times New Roman"/>
                <w:b/>
                <w:i/>
                <w:spacing w:val="-3"/>
                <w:sz w:val="24"/>
                <w:szCs w:val="24"/>
                <w:lang w:eastAsia="es-ES"/>
              </w:rPr>
              <w:t>level of presumption</w:t>
            </w:r>
          </w:p>
        </w:tc>
        <w:tc>
          <w:tcPr>
            <w:tcW w:w="3431" w:type="dxa"/>
          </w:tcPr>
          <w:p>
            <w:pPr>
              <w:tabs>
                <w:tab w:val="left" w:pos="-720"/>
              </w:tabs>
              <w:suppressAutoHyphens/>
              <w:spacing w:before="90" w:after="54" w:line="240" w:lineRule="auto"/>
              <w:jc w:val="center"/>
              <w:rPr>
                <w:rFonts w:ascii="Times New Roman" w:hAnsi="Times New Roman" w:eastAsia="Times New Roman" w:cs="Times New Roman"/>
                <w:b/>
                <w:i/>
                <w:spacing w:val="-3"/>
                <w:sz w:val="24"/>
                <w:szCs w:val="24"/>
                <w:lang w:eastAsia="es-ES"/>
              </w:rPr>
            </w:pPr>
            <w:r>
              <w:rPr>
                <w:rFonts w:ascii="Times New Roman" w:hAnsi="Times New Roman" w:eastAsia="Times New Roman" w:cs="Times New Roman"/>
                <w:b/>
                <w:i/>
                <w:spacing w:val="-3"/>
                <w:sz w:val="24"/>
                <w:szCs w:val="24"/>
                <w:lang w:eastAsia="es-ES"/>
              </w:rPr>
              <w:t>Accumulated Reverse Frequencies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rPr>
          <w:trHeight w:val="377" w:hRule="atLeast"/>
        </w:trPr>
        <w:tc>
          <w:tcPr>
            <w:tcW w:w="1784" w:type="dxa"/>
          </w:tcPr>
          <w:p>
            <w:pPr>
              <w:tabs>
                <w:tab w:val="left" w:pos="-720"/>
              </w:tabs>
              <w:suppressAutoHyphens/>
              <w:spacing w:before="90" w:after="54" w:line="240" w:lineRule="auto"/>
              <w:jc w:val="center"/>
              <w:rPr>
                <w:rFonts w:ascii="Times New Roman" w:hAnsi="Times New Roman" w:eastAsia="Times New Roman" w:cs="Times New Roman"/>
                <w:b/>
                <w:spacing w:val="-3"/>
                <w:sz w:val="24"/>
                <w:szCs w:val="24"/>
                <w:lang w:eastAsia="es-ES"/>
              </w:rPr>
            </w:pPr>
          </w:p>
        </w:tc>
        <w:tc>
          <w:tcPr>
            <w:tcW w:w="3431" w:type="dxa"/>
          </w:tcPr>
          <w:p>
            <w:pPr>
              <w:tabs>
                <w:tab w:val="left" w:pos="-720"/>
              </w:tabs>
              <w:suppressAutoHyphens/>
              <w:spacing w:before="90" w:after="54" w:line="240" w:lineRule="auto"/>
              <w:jc w:val="center"/>
              <w:rPr>
                <w:rFonts w:ascii="Times New Roman" w:hAnsi="Times New Roman" w:eastAsia="Times New Roman" w:cs="Times New Roman"/>
                <w:b/>
                <w:spacing w:val="-3"/>
                <w:sz w:val="24"/>
                <w:szCs w:val="24"/>
                <w:lang w:val="en-US" w:eastAsia="es-ES"/>
              </w:rPr>
            </w:pPr>
            <w:r>
              <w:rPr>
                <w:rFonts w:ascii="Times New Roman" w:hAnsi="Times New Roman" w:eastAsia="Times New Roman" w:cs="Times New Roman"/>
                <w:b/>
                <w:spacing w:val="-3"/>
                <w:sz w:val="24"/>
                <w:szCs w:val="24"/>
                <w:lang w:val="en-US" w:eastAsia="es-ES"/>
              </w:rPr>
              <w:t>Li  Vc  Ls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rPr>
          <w:trHeight w:val="3481" w:hRule="atLeast"/>
        </w:trPr>
        <w:tc>
          <w:tcPr>
            <w:tcW w:w="1784" w:type="dxa"/>
          </w:tcPr>
          <w:p>
            <w:pPr>
              <w:tabs>
                <w:tab w:val="left" w:pos="-720"/>
              </w:tabs>
              <w:suppressAutoHyphens/>
              <w:spacing w:before="90"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0,2</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0,3</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0,4</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0,5</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0,6</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0,7</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0,8</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0,9</w:t>
            </w:r>
          </w:p>
          <w:p>
            <w:pPr>
              <w:tabs>
                <w:tab w:val="left" w:pos="-720"/>
              </w:tabs>
              <w:suppressAutoHyphens/>
              <w:spacing w:after="54"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w:t>
            </w:r>
          </w:p>
        </w:tc>
        <w:tc>
          <w:tcPr>
            <w:tcW w:w="3431" w:type="dxa"/>
          </w:tcPr>
          <w:p>
            <w:pPr>
              <w:tabs>
                <w:tab w:val="left" w:pos="-720"/>
              </w:tabs>
              <w:suppressAutoHyphens/>
              <w:spacing w:before="90"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1      1     1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1      1     1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1      1      1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1      1      1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1      1      1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1      1      1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0,6   0,8    0,8</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0,4   0,4    0,6</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0      0,2    0,2</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0       0      0,2</w:t>
            </w:r>
          </w:p>
          <w:p>
            <w:pPr>
              <w:tabs>
                <w:tab w:val="left" w:pos="-720"/>
              </w:tabs>
              <w:suppressAutoHyphens/>
              <w:spacing w:after="54"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0       0       0</w:t>
            </w:r>
          </w:p>
        </w:tc>
      </w:tr>
    </w:tbl>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In this case, since opinions were expressed in confidence triplets, an M-Experton has been obtained where, as has been seen, Li is the lower limit, Vc the central value and Ls the upper limit of the interval.</w:t>
      </w:r>
    </w:p>
    <w:p>
      <w:pPr>
        <w:rPr>
          <w:rFonts w:ascii="Times New Roman" w:hAnsi="Times New Roman" w:cs="Times New Roman"/>
          <w:sz w:val="24"/>
          <w:szCs w:val="24"/>
          <w:lang w:val="en-US"/>
        </w:rPr>
      </w:pPr>
      <w:r>
        <w:rPr>
          <w:rFonts w:ascii="Times New Roman" w:hAnsi="Times New Roman" w:cs="Times New Roman"/>
          <w:sz w:val="24"/>
          <w:szCs w:val="24"/>
          <w:lang w:val="en-US"/>
        </w:rPr>
        <w:t>4.1.5.- Calculation of the R + -Experton.</w:t>
      </w:r>
    </w:p>
    <w:p>
      <w:pPr>
        <w:rPr>
          <w:rFonts w:ascii="Times New Roman" w:hAnsi="Times New Roman" w:cs="Times New Roman"/>
          <w:sz w:val="24"/>
          <w:szCs w:val="24"/>
          <w:lang w:val="en-US"/>
        </w:rPr>
      </w:pPr>
      <w:r>
        <w:rPr>
          <w:rFonts w:ascii="Times New Roman" w:hAnsi="Times New Roman" w:cs="Times New Roman"/>
          <w:sz w:val="24"/>
          <w:szCs w:val="24"/>
          <w:lang w:val="en-US"/>
        </w:rPr>
        <w:t>Once the Expert is determined, the next step is to carry out the opportune transformations that facilitate the obtaining of the R + -Expertón, which will allow the expression in monetary terms of the opinions of the experts. However, since the proposed example is based on an M-Experton, the result to be obtained will be an R + -M Experton.</w:t>
      </w:r>
    </w:p>
    <w:p>
      <w:pPr>
        <w:rPr>
          <w:rFonts w:ascii="Times New Roman" w:hAnsi="Times New Roman" w:cs="Times New Roman"/>
          <w:sz w:val="24"/>
          <w:szCs w:val="24"/>
          <w:lang w:val="en-US"/>
        </w:rPr>
      </w:pPr>
      <w:r>
        <w:rPr>
          <w:rFonts w:ascii="Times New Roman" w:hAnsi="Times New Roman" w:cs="Times New Roman"/>
          <w:sz w:val="24"/>
          <w:szCs w:val="24"/>
          <w:lang w:val="en-US"/>
        </w:rPr>
        <w:t xml:space="preserve">The linear transformation of an Experton, whose data are defined on the interval [0,1], to an R </w:t>
      </w:r>
      <w:r>
        <w:rPr>
          <w:rFonts w:ascii="Times New Roman" w:hAnsi="Times New Roman" w:cs="Times New Roman"/>
          <w:b/>
          <w:sz w:val="24"/>
          <w:szCs w:val="24"/>
          <w:lang w:val="en-US"/>
        </w:rPr>
        <w:t>+ -</w:t>
      </w:r>
      <w:r>
        <w:rPr>
          <w:rFonts w:ascii="Times New Roman" w:hAnsi="Times New Roman" w:cs="Times New Roman"/>
          <w:sz w:val="24"/>
          <w:szCs w:val="24"/>
          <w:lang w:val="en-US"/>
        </w:rPr>
        <w:t xml:space="preserve"> Experton, referenced to the interval [A *, A *], where A * represents the lower limit of the interval and A * the upper limit is the following:</w:t>
      </w:r>
    </w:p>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R + - Experton = A * + (A * - A *) * Experton</w:t>
      </w:r>
    </w:p>
    <w:p>
      <w:pPr>
        <w:rPr>
          <w:rFonts w:ascii="Times New Roman" w:hAnsi="Times New Roman" w:cs="Times New Roman"/>
          <w:sz w:val="24"/>
          <w:szCs w:val="24"/>
          <w:lang w:val="en-US"/>
        </w:rPr>
      </w:pPr>
      <w:r>
        <w:rPr>
          <w:rFonts w:ascii="Times New Roman" w:hAnsi="Times New Roman" w:cs="Times New Roman"/>
          <w:sz w:val="24"/>
          <w:szCs w:val="24"/>
          <w:lang w:val="en-US"/>
        </w:rPr>
        <w:t>Applied to our example means that:</w:t>
      </w:r>
    </w:p>
    <w:p>
      <w:pPr>
        <w:rPr>
          <w:rFonts w:ascii="Times New Roman" w:hAnsi="Times New Roman" w:cs="Times New Roman"/>
          <w:sz w:val="24"/>
          <w:szCs w:val="24"/>
          <w:lang w:val="en-US"/>
        </w:rPr>
      </w:pPr>
      <w:r>
        <w:rPr>
          <w:rFonts w:ascii="Times New Roman" w:hAnsi="Times New Roman" w:cs="Times New Roman"/>
          <w:sz w:val="24"/>
          <w:szCs w:val="24"/>
          <w:lang w:val="en-US"/>
        </w:rPr>
        <w:t>R + -M-Experton = 57,500 + (71,500 - 57,500) * M-Experton</w:t>
      </w:r>
    </w:p>
    <w:p>
      <w:pPr>
        <w:rPr>
          <w:rFonts w:ascii="Times New Roman" w:hAnsi="Times New Roman" w:cs="Times New Roman"/>
          <w:sz w:val="24"/>
          <w:szCs w:val="24"/>
          <w:lang w:val="en-US"/>
        </w:rPr>
      </w:pPr>
      <w:r>
        <w:rPr>
          <w:rFonts w:ascii="Times New Roman" w:hAnsi="Times New Roman" w:cs="Times New Roman"/>
          <w:sz w:val="24"/>
          <w:szCs w:val="24"/>
          <w:lang w:val="en-US"/>
        </w:rPr>
        <w:t>This process allows obtaining the following R + -M-Experton:</w:t>
      </w:r>
    </w:p>
    <w:tbl>
      <w:tblPr>
        <w:tblStyle w:val="6"/>
        <w:tblW w:w="5103" w:type="dxa"/>
        <w:tblInd w:w="153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
      <w:tblGrid>
        <w:gridCol w:w="1559"/>
        <w:gridCol w:w="35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c>
          <w:tcPr>
            <w:tcW w:w="1559" w:type="dxa"/>
          </w:tcPr>
          <w:p>
            <w:pPr>
              <w:tabs>
                <w:tab w:val="left" w:pos="-720"/>
              </w:tabs>
              <w:suppressAutoHyphens/>
              <w:spacing w:before="90" w:after="0" w:line="240" w:lineRule="auto"/>
              <w:jc w:val="center"/>
              <w:rPr>
                <w:rFonts w:ascii="Times New Roman" w:hAnsi="Times New Roman" w:eastAsia="Times New Roman" w:cs="Times New Roman"/>
                <w:b/>
                <w:i/>
                <w:spacing w:val="-3"/>
                <w:sz w:val="24"/>
                <w:szCs w:val="24"/>
                <w:lang w:eastAsia="es-ES"/>
              </w:rPr>
            </w:pPr>
            <w:r>
              <w:rPr>
                <w:rFonts w:ascii="Times New Roman" w:hAnsi="Times New Roman" w:eastAsia="Times New Roman" w:cs="Times New Roman"/>
                <w:b/>
                <w:i/>
                <w:spacing w:val="-3"/>
                <w:sz w:val="24"/>
                <w:szCs w:val="24"/>
                <w:lang w:eastAsia="es-ES"/>
              </w:rPr>
              <w:t>level of presumption</w:t>
            </w:r>
          </w:p>
        </w:tc>
        <w:tc>
          <w:tcPr>
            <w:tcW w:w="3544" w:type="dxa"/>
          </w:tcPr>
          <w:p>
            <w:pPr>
              <w:tabs>
                <w:tab w:val="left" w:pos="-720"/>
                <w:tab w:val="left" w:pos="2122"/>
              </w:tabs>
              <w:suppressAutoHyphens/>
              <w:spacing w:before="90" w:after="54" w:line="240" w:lineRule="auto"/>
              <w:jc w:val="center"/>
              <w:rPr>
                <w:rFonts w:ascii="Times New Roman" w:hAnsi="Times New Roman" w:eastAsia="Times New Roman" w:cs="Times New Roman"/>
                <w:b/>
                <w:i/>
                <w:spacing w:val="-3"/>
                <w:sz w:val="24"/>
                <w:szCs w:val="24"/>
                <w:lang w:eastAsia="es-ES"/>
              </w:rPr>
            </w:pPr>
            <w:r>
              <w:rPr>
                <w:rFonts w:ascii="Times New Roman" w:hAnsi="Times New Roman" w:eastAsia="Times New Roman" w:cs="Times New Roman"/>
                <w:b/>
                <w:i/>
                <w:spacing w:val="-3"/>
                <w:sz w:val="24"/>
                <w:szCs w:val="24"/>
                <w:lang w:eastAsia="es-ES"/>
              </w:rPr>
              <w:t>R</w:t>
            </w:r>
            <w:r>
              <w:rPr>
                <w:rFonts w:ascii="Times New Roman" w:hAnsi="Times New Roman" w:eastAsia="Times New Roman" w:cs="Times New Roman"/>
                <w:b/>
                <w:i/>
                <w:spacing w:val="-3"/>
                <w:sz w:val="24"/>
                <w:szCs w:val="24"/>
                <w:vertAlign w:val="superscript"/>
                <w:lang w:eastAsia="es-ES"/>
              </w:rPr>
              <w:t>+</w:t>
            </w:r>
            <w:r>
              <w:rPr>
                <w:rFonts w:ascii="Times New Roman" w:hAnsi="Times New Roman" w:eastAsia="Times New Roman" w:cs="Times New Roman"/>
                <w:b/>
                <w:i/>
                <w:spacing w:val="-3"/>
                <w:sz w:val="24"/>
                <w:szCs w:val="24"/>
                <w:lang w:eastAsia="es-ES"/>
              </w:rPr>
              <w:t xml:space="preserve">-M-Experton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c>
          <w:tcPr>
            <w:tcW w:w="1559" w:type="dxa"/>
          </w:tcPr>
          <w:p>
            <w:pPr>
              <w:tabs>
                <w:tab w:val="left" w:pos="-720"/>
              </w:tabs>
              <w:suppressAutoHyphens/>
              <w:spacing w:before="90" w:after="54" w:line="240" w:lineRule="auto"/>
              <w:jc w:val="center"/>
              <w:rPr>
                <w:rFonts w:ascii="Times New Roman" w:hAnsi="Times New Roman" w:eastAsia="Times New Roman" w:cs="Times New Roman"/>
                <w:b/>
                <w:spacing w:val="-3"/>
                <w:sz w:val="24"/>
                <w:szCs w:val="24"/>
                <w:lang w:eastAsia="es-ES"/>
              </w:rPr>
            </w:pPr>
          </w:p>
        </w:tc>
        <w:tc>
          <w:tcPr>
            <w:tcW w:w="3544" w:type="dxa"/>
          </w:tcPr>
          <w:p>
            <w:pPr>
              <w:tabs>
                <w:tab w:val="left" w:pos="-720"/>
              </w:tabs>
              <w:suppressAutoHyphens/>
              <w:spacing w:before="90" w:after="54" w:line="240" w:lineRule="auto"/>
              <w:rPr>
                <w:rFonts w:ascii="Times New Roman" w:hAnsi="Times New Roman" w:eastAsia="Times New Roman" w:cs="Times New Roman"/>
                <w:b/>
                <w:spacing w:val="-3"/>
                <w:sz w:val="24"/>
                <w:szCs w:val="24"/>
                <w:lang w:val="en-US" w:eastAsia="es-ES"/>
              </w:rPr>
            </w:pP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b/>
                <w:spacing w:val="-3"/>
                <w:sz w:val="24"/>
                <w:szCs w:val="24"/>
                <w:lang w:val="en-US" w:eastAsia="es-ES"/>
              </w:rPr>
              <w:t>Li           Vc            Ls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20" w:type="dxa"/>
            <w:bottom w:w="0" w:type="dxa"/>
            <w:right w:w="120" w:type="dxa"/>
          </w:tblCellMar>
        </w:tblPrEx>
        <w:tc>
          <w:tcPr>
            <w:tcW w:w="1559" w:type="dxa"/>
          </w:tcPr>
          <w:p>
            <w:pPr>
              <w:tabs>
                <w:tab w:val="left" w:pos="-720"/>
              </w:tabs>
              <w:suppressAutoHyphens/>
              <w:spacing w:before="90"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0,1</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0,2</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0,3</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0,4</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0,5</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0,6</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0,7</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0,8</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0,9</w:t>
            </w:r>
          </w:p>
          <w:p>
            <w:pPr>
              <w:tabs>
                <w:tab w:val="left" w:pos="-720"/>
              </w:tabs>
              <w:suppressAutoHyphens/>
              <w:spacing w:after="54"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1</w:t>
            </w:r>
          </w:p>
        </w:tc>
        <w:tc>
          <w:tcPr>
            <w:tcW w:w="3544" w:type="dxa"/>
          </w:tcPr>
          <w:p>
            <w:pPr>
              <w:tabs>
                <w:tab w:val="left" w:pos="-720"/>
              </w:tabs>
              <w:suppressAutoHyphens/>
              <w:spacing w:before="90"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71.500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71.500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71.500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71.500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71.500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71.500     71.500    71.500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65.900     68.700   68.700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63.100     63.100   65.900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57.500    60.300    60.300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57.500    57.500   60.300</w:t>
            </w:r>
          </w:p>
          <w:p>
            <w:pPr>
              <w:tabs>
                <w:tab w:val="left" w:pos="-720"/>
              </w:tabs>
              <w:suppressAutoHyphens/>
              <w:spacing w:after="0" w:line="240" w:lineRule="auto"/>
              <w:jc w:val="center"/>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57.500     57.500    57.500</w:t>
            </w:r>
          </w:p>
        </w:tc>
      </w:tr>
    </w:tbl>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4.1.6.- Calculation of the expected average value of (Ḡ).</w:t>
      </w:r>
    </w:p>
    <w:p>
      <w:pPr>
        <w:rPr>
          <w:rFonts w:ascii="Times New Roman" w:hAnsi="Times New Roman" w:cs="Times New Roman"/>
          <w:sz w:val="24"/>
          <w:szCs w:val="24"/>
          <w:lang w:val="en-US"/>
        </w:rPr>
      </w:pPr>
      <w:r>
        <w:rPr>
          <w:rFonts w:ascii="Times New Roman" w:hAnsi="Times New Roman" w:cs="Times New Roman"/>
          <w:sz w:val="24"/>
          <w:szCs w:val="24"/>
          <w:lang w:val="en-US"/>
        </w:rPr>
        <w:t>Next, the mathematical expectation of the R + - Expertones is determined, obtaining interesting information about the expected average value of the analyzed variable, represented by a fuzzy number.</w:t>
      </w:r>
    </w:p>
    <w:p>
      <w:pPr>
        <w:rPr>
          <w:rFonts w:ascii="Times New Roman" w:hAnsi="Times New Roman" w:cs="Times New Roman"/>
          <w:sz w:val="24"/>
          <w:szCs w:val="24"/>
          <w:lang w:val="en-US"/>
        </w:rPr>
      </w:pPr>
      <w:r>
        <w:rPr>
          <w:rFonts w:ascii="Times New Roman" w:hAnsi="Times New Roman" w:cs="Times New Roman"/>
          <w:sz w:val="24"/>
          <w:szCs w:val="24"/>
          <w:lang w:val="en-US"/>
        </w:rPr>
        <w:t>In this way, in order to approximate the value of (Ḡ), objective of the proposed example, it will proceed to operate as follows:</w:t>
      </w:r>
    </w:p>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E (A) = 1/10 * ([71,500, 71,500, 71,500] + [71,500, 71,500, 71,500] + [71,500, 71,500, 71,500] + [71,500, 71,500, 71,500] + [71,500, 71,500, 71,500] + [65,900, 68,700, 68,700] + [63,100, 63,100, 65,900] + [57,500, 60,300, 60,300] + [57,500, 57,500, 60,300] + [57,500, 57,500, 57,500]) = [65,900, 66,460, 67,020]</w:t>
      </w:r>
    </w:p>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The final result obtained is a triangular fuzzy number, which includes the Goodwill intangible estimate (Ḡ) that can be compared with the accounting data of the company, and may also serve to verify the quality of the financial information provided. If this analysis can be repeated at different times, a very interesting sectoral database can be developed.</w:t>
      </w:r>
    </w:p>
    <w:p>
      <w:pPr>
        <w:rPr>
          <w:rFonts w:ascii="Times New Roman" w:hAnsi="Times New Roman" w:cs="Times New Roman"/>
          <w:sz w:val="24"/>
          <w:szCs w:val="24"/>
          <w:lang w:val="en-US"/>
        </w:rPr>
      </w:pPr>
      <w:r>
        <w:rPr>
          <w:rFonts w:ascii="Times New Roman" w:hAnsi="Times New Roman" w:cs="Times New Roman"/>
          <w:sz w:val="24"/>
          <w:szCs w:val="24"/>
          <w:lang w:val="en-US"/>
        </w:rPr>
        <w:t>Its graphic representation would be:</w:t>
      </w:r>
    </w:p>
    <w:p>
      <w:pPr>
        <w:rPr>
          <w:rFonts w:ascii="Times New Roman" w:hAnsi="Times New Roman" w:cs="Times New Roman"/>
          <w:sz w:val="24"/>
          <w:szCs w:val="24"/>
          <w:lang w:val="en-US"/>
        </w:rPr>
      </w:pPr>
      <w:r>
        <w:rPr>
          <w:rFonts w:ascii="Times New Roman" w:hAnsi="Times New Roman" w:cs="Times New Roman"/>
          <w:sz w:val="24"/>
          <w:szCs w:val="24"/>
          <w:lang w:val="en-US"/>
        </w:rPr>
        <w:t>In this way, the results allow us to conclude that said value will be in the range (65,900, 67,020), being the most possible value to reach, always based on the opinion of the experts, 66,460 euros.</w:t>
      </w: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eastAsia="Times New Roman" w:cs="Times New Roman"/>
          <w:sz w:val="24"/>
          <w:szCs w:val="20"/>
          <w:lang w:eastAsia="es-ES"/>
        </w:rPr>
        <w:drawing>
          <wp:anchor distT="0" distB="0" distL="114300" distR="114300" simplePos="0" relativeHeight="251659264" behindDoc="0" locked="0" layoutInCell="0" allowOverlap="1">
            <wp:simplePos x="0" y="0"/>
            <wp:positionH relativeFrom="column">
              <wp:posOffset>638175</wp:posOffset>
            </wp:positionH>
            <wp:positionV relativeFrom="paragraph">
              <wp:posOffset>118745</wp:posOffset>
            </wp:positionV>
            <wp:extent cx="4051300" cy="2782570"/>
            <wp:effectExtent l="0" t="0" r="25400" b="17780"/>
            <wp:wrapTopAndBottom/>
            <wp:docPr id="1" name="Gráfic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rPr>
          <w:rFonts w:ascii="Times New Roman" w:hAnsi="Times New Roman" w:cs="Times New Roman"/>
          <w:sz w:val="24"/>
          <w:szCs w:val="24"/>
          <w:lang w:val="en-US"/>
        </w:rPr>
      </w:pPr>
      <w:r>
        <w:rPr>
          <w:rFonts w:ascii="Times New Roman" w:hAnsi="Times New Roman" w:cs="Times New Roman"/>
          <w:sz w:val="24"/>
          <w:szCs w:val="24"/>
          <w:lang w:val="en-US"/>
        </w:rPr>
        <w:t>However, it is still possible to limit the previous interval, proceeding to defuse the fuzzy number obtained, which leads us to introduce a final stage in the proposed sequential process.</w:t>
      </w:r>
    </w:p>
    <w:p>
      <w:pPr>
        <w:rPr>
          <w:rFonts w:ascii="Times New Roman" w:hAnsi="Times New Roman" w:cs="Times New Roman"/>
          <w:sz w:val="24"/>
          <w:szCs w:val="24"/>
          <w:lang w:val="en-US"/>
        </w:rPr>
      </w:pPr>
      <w:r>
        <w:rPr>
          <w:rFonts w:ascii="Times New Roman" w:hAnsi="Times New Roman" w:cs="Times New Roman"/>
          <w:sz w:val="24"/>
          <w:szCs w:val="24"/>
          <w:lang w:val="en-US"/>
        </w:rPr>
        <w:t>4.1.7.- Obtaining the final value of (Ḡ).</w:t>
      </w:r>
    </w:p>
    <w:p>
      <w:pPr>
        <w:rPr>
          <w:rFonts w:ascii="Times New Roman" w:hAnsi="Times New Roman" w:cs="Times New Roman"/>
          <w:sz w:val="24"/>
          <w:szCs w:val="24"/>
          <w:lang w:val="en-US"/>
        </w:rPr>
      </w:pPr>
      <w:r>
        <w:rPr>
          <w:rFonts w:ascii="Times New Roman" w:hAnsi="Times New Roman" w:cs="Times New Roman"/>
          <w:sz w:val="24"/>
          <w:szCs w:val="24"/>
          <w:lang w:val="en-US"/>
        </w:rPr>
        <w:t>Finally, the proposed process concludes with the calculation of the mathematical expectation of the previous fuzzy number. This will make it possible to defuse the results, that is, to transform a fuzzy number into a confidence interval, having eliminated the subjectivity, and consequently, objectifying the estimation of the studied intangible.</w:t>
      </w:r>
    </w:p>
    <w:p>
      <w:pPr>
        <w:rPr>
          <w:rFonts w:ascii="Times New Roman" w:hAnsi="Times New Roman" w:cs="Times New Roman"/>
          <w:sz w:val="24"/>
          <w:szCs w:val="24"/>
          <w:lang w:val="en-US"/>
        </w:rPr>
      </w:pPr>
      <w:r>
        <w:rPr>
          <w:rFonts w:ascii="Times New Roman" w:hAnsi="Times New Roman" w:cs="Times New Roman"/>
          <w:sz w:val="24"/>
          <w:szCs w:val="24"/>
          <w:lang w:val="en-US"/>
        </w:rPr>
        <w:t xml:space="preserve">Let </w:t>
      </w:r>
      <w:r>
        <w:rPr>
          <w:rFonts w:ascii="Times New Roman" w:hAnsi="Times New Roman" w:eastAsia="Times New Roman" w:cs="Times New Roman"/>
          <w:sz w:val="24"/>
          <w:szCs w:val="20"/>
          <w:lang w:eastAsia="es-ES"/>
        </w:rPr>
        <w:sym w:font="Symbol" w:char="F041"/>
      </w:r>
      <w:r>
        <w:rPr>
          <w:rFonts w:ascii="Times New Roman" w:hAnsi="Times New Roman" w:eastAsia="Times New Roman" w:cs="Times New Roman"/>
          <w:sz w:val="24"/>
          <w:szCs w:val="20"/>
          <w:lang w:val="en-US" w:eastAsia="es-ES"/>
        </w:rPr>
        <w:t xml:space="preserve"> (</w:t>
      </w:r>
      <w:r>
        <w:rPr>
          <w:rFonts w:ascii="Times New Roman" w:hAnsi="Times New Roman" w:eastAsia="Times New Roman" w:cs="Times New Roman"/>
          <w:sz w:val="24"/>
          <w:szCs w:val="20"/>
          <w:lang w:eastAsia="es-ES"/>
        </w:rPr>
        <w:sym w:font="Symbol" w:char="F0B5"/>
      </w:r>
      <w:r>
        <w:rPr>
          <w:rFonts w:ascii="Times New Roman" w:hAnsi="Times New Roman" w:eastAsia="Times New Roman" w:cs="Times New Roman"/>
          <w:sz w:val="24"/>
          <w:szCs w:val="20"/>
          <w:lang w:val="en-US" w:eastAsia="es-ES"/>
        </w:rPr>
        <w:t>)</w:t>
      </w:r>
      <w:r>
        <w:rPr>
          <w:rFonts w:ascii="Times New Roman" w:hAnsi="Times New Roman" w:cs="Times New Roman"/>
          <w:sz w:val="24"/>
          <w:szCs w:val="24"/>
          <w:lang w:val="en-US"/>
        </w:rPr>
        <w:t xml:space="preserve"> be a fuzzy number represented as a confidence interval where the presumption level </w:t>
      </w:r>
      <w:r>
        <w:rPr>
          <w:rFonts w:ascii="Times New Roman" w:hAnsi="Times New Roman" w:eastAsia="Times New Roman" w:cs="Times New Roman"/>
          <w:sz w:val="24"/>
          <w:szCs w:val="20"/>
          <w:lang w:eastAsia="es-ES"/>
        </w:rPr>
        <w:sym w:font="Symbol" w:char="F0B5"/>
      </w:r>
      <w:r>
        <w:rPr>
          <w:rFonts w:ascii="Times New Roman" w:hAnsi="Times New Roman" w:cs="Times New Roman"/>
          <w:sz w:val="24"/>
          <w:szCs w:val="24"/>
          <w:lang w:val="en-US"/>
        </w:rPr>
        <w:t xml:space="preserve"> varies in the interval [0,1], its mathematical expectation will be obtained by calculating its integral with respect to </w:t>
      </w:r>
      <w:r>
        <w:rPr>
          <w:rFonts w:ascii="Times New Roman" w:hAnsi="Times New Roman" w:eastAsia="Times New Roman" w:cs="Times New Roman"/>
          <w:sz w:val="24"/>
          <w:szCs w:val="20"/>
          <w:lang w:eastAsia="es-ES"/>
        </w:rPr>
        <w:sym w:font="Symbol" w:char="F0B5"/>
      </w:r>
      <w:r>
        <w:rPr>
          <w:rFonts w:ascii="Times New Roman" w:hAnsi="Times New Roman" w:eastAsia="Times New Roman" w:cs="Times New Roman"/>
          <w:sz w:val="24"/>
          <w:szCs w:val="20"/>
          <w:lang w:val="en-US" w:eastAsia="es-ES"/>
        </w:rPr>
        <w:t xml:space="preserve"> </w:t>
      </w:r>
      <w:r>
        <w:rPr>
          <w:rFonts w:ascii="Times New Roman" w:hAnsi="Times New Roman" w:cs="Times New Roman"/>
          <w:sz w:val="24"/>
          <w:szCs w:val="24"/>
          <w:lang w:val="en-US"/>
        </w:rPr>
        <w:t>defined between 0 and 1.</w:t>
      </w:r>
    </w:p>
    <w:p>
      <w:pPr>
        <w:rPr>
          <w:rFonts w:ascii="Times New Roman" w:hAnsi="Times New Roman" w:eastAsia="Times New Roman" w:cs="Times New Roman"/>
          <w:spacing w:val="-3"/>
          <w:position w:val="-32"/>
          <w:sz w:val="24"/>
          <w:szCs w:val="20"/>
          <w:lang w:val="en-US" w:eastAsia="es-ES"/>
        </w:rPr>
      </w:pPr>
      <w:r>
        <w:rPr>
          <w:rFonts w:ascii="Times New Roman" w:hAnsi="Times New Roman" w:eastAsia="Times New Roman" w:cs="Times New Roman"/>
          <w:spacing w:val="-3"/>
          <w:position w:val="-32"/>
          <w:sz w:val="24"/>
          <w:szCs w:val="20"/>
          <w:lang w:val="en-US" w:eastAsia="es-ES"/>
        </w:rPr>
        <w:object>
          <v:shape id="_x0000_i1025" o:spt="75" type="#_x0000_t75" style="height:38pt;width:119.35pt;" o:ole="t" fillcolor="#000005 [-4142]"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pPr>
        <w:rPr>
          <w:rFonts w:ascii="Times New Roman" w:hAnsi="Times New Roman" w:eastAsia="Times New Roman" w:cs="Times New Roman"/>
          <w:spacing w:val="-3"/>
          <w:position w:val="-32"/>
          <w:sz w:val="24"/>
          <w:szCs w:val="20"/>
          <w:lang w:val="en-US" w:eastAsia="es-ES"/>
        </w:rPr>
      </w:pPr>
      <w:r>
        <w:rPr>
          <w:rFonts w:ascii="Times New Roman" w:hAnsi="Times New Roman" w:eastAsia="Times New Roman" w:cs="Times New Roman"/>
          <w:spacing w:val="-3"/>
          <w:position w:val="-32"/>
          <w:sz w:val="24"/>
          <w:szCs w:val="20"/>
          <w:lang w:val="en-US" w:eastAsia="es-ES"/>
        </w:rPr>
        <w:t>In the proposed example, since it is a triangular fuzzy number, its characteristic function will be linear, and its representation through confidence intervals will be the following:</w:t>
      </w:r>
    </w:p>
    <w:p>
      <w:pPr>
        <w:tabs>
          <w:tab w:val="left" w:pos="-720"/>
          <w:tab w:val="left" w:pos="0"/>
        </w:tabs>
        <w:suppressAutoHyphens/>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sz w:val="24"/>
          <w:szCs w:val="20"/>
          <w:lang w:eastAsia="es-ES"/>
        </w:rPr>
        <w:sym w:font="Symbol" w:char="F041"/>
      </w:r>
      <w:r>
        <w:rPr>
          <w:rFonts w:ascii="Times New Roman" w:hAnsi="Times New Roman" w:eastAsia="Times New Roman" w:cs="Times New Roman"/>
          <w:sz w:val="24"/>
          <w:szCs w:val="20"/>
          <w:lang w:eastAsia="es-ES"/>
        </w:rPr>
        <w:t xml:space="preserve"> (</w:t>
      </w:r>
      <w:r>
        <w:rPr>
          <w:rFonts w:ascii="Times New Roman" w:hAnsi="Times New Roman" w:eastAsia="Times New Roman" w:cs="Times New Roman"/>
          <w:sz w:val="24"/>
          <w:szCs w:val="20"/>
          <w:lang w:eastAsia="es-ES"/>
        </w:rPr>
        <w:sym w:font="Symbol" w:char="F0B5"/>
      </w:r>
      <w:r>
        <w:rPr>
          <w:rFonts w:ascii="Times New Roman" w:hAnsi="Times New Roman" w:eastAsia="Times New Roman" w:cs="Times New Roman"/>
          <w:sz w:val="24"/>
          <w:szCs w:val="20"/>
          <w:lang w:eastAsia="es-ES"/>
        </w:rPr>
        <w:t xml:space="preserve">) = [(66.460 – 65.900)* </w:t>
      </w:r>
      <w:r>
        <w:rPr>
          <w:rFonts w:ascii="Times New Roman" w:hAnsi="Times New Roman" w:eastAsia="Times New Roman" w:cs="Times New Roman"/>
          <w:sz w:val="24"/>
          <w:szCs w:val="20"/>
          <w:lang w:eastAsia="es-ES"/>
        </w:rPr>
        <w:sym w:font="Symbol" w:char="F0B5"/>
      </w:r>
      <w:r>
        <w:rPr>
          <w:rFonts w:ascii="Times New Roman" w:hAnsi="Times New Roman" w:eastAsia="Times New Roman" w:cs="Times New Roman"/>
          <w:sz w:val="24"/>
          <w:szCs w:val="20"/>
          <w:lang w:eastAsia="es-ES"/>
        </w:rPr>
        <w:t xml:space="preserve"> + 65.900 ,  (66.460 – 67.020)* </w:t>
      </w:r>
      <w:r>
        <w:rPr>
          <w:rFonts w:ascii="Times New Roman" w:hAnsi="Times New Roman" w:eastAsia="Times New Roman" w:cs="Times New Roman"/>
          <w:sz w:val="24"/>
          <w:szCs w:val="20"/>
          <w:lang w:eastAsia="es-ES"/>
        </w:rPr>
        <w:sym w:font="Symbol" w:char="F0B5"/>
      </w:r>
      <w:r>
        <w:rPr>
          <w:rFonts w:ascii="Times New Roman" w:hAnsi="Times New Roman" w:eastAsia="Times New Roman" w:cs="Times New Roman"/>
          <w:sz w:val="24"/>
          <w:szCs w:val="20"/>
          <w:lang w:eastAsia="es-ES"/>
        </w:rPr>
        <w:t xml:space="preserve"> + 67.020]</w:t>
      </w:r>
    </w:p>
    <w:p>
      <w:pPr>
        <w:tabs>
          <w:tab w:val="left" w:pos="-720"/>
          <w:tab w:val="left" w:pos="0"/>
        </w:tabs>
        <w:suppressAutoHyphens/>
        <w:spacing w:after="0" w:line="240" w:lineRule="auto"/>
        <w:jc w:val="both"/>
        <w:rPr>
          <w:rFonts w:ascii="Times New Roman" w:hAnsi="Times New Roman" w:eastAsia="Times New Roman" w:cs="Times New Roman"/>
          <w:sz w:val="24"/>
          <w:szCs w:val="20"/>
          <w:lang w:eastAsia="es-ES"/>
        </w:rPr>
      </w:pPr>
    </w:p>
    <w:p>
      <w:pPr>
        <w:tabs>
          <w:tab w:val="left" w:pos="-720"/>
          <w:tab w:val="left" w:pos="0"/>
        </w:tabs>
        <w:suppressAutoHyphens/>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sz w:val="24"/>
          <w:szCs w:val="20"/>
          <w:lang w:eastAsia="es-ES"/>
        </w:rPr>
        <w:t>Calculating your mathematical hope:</w:t>
      </w:r>
    </w:p>
    <w:p>
      <w:pPr>
        <w:tabs>
          <w:tab w:val="left" w:pos="-720"/>
          <w:tab w:val="left" w:pos="0"/>
        </w:tabs>
        <w:suppressAutoHyphens/>
        <w:spacing w:after="0" w:line="240" w:lineRule="auto"/>
        <w:jc w:val="both"/>
        <w:rPr>
          <w:rFonts w:ascii="Times New Roman" w:hAnsi="Times New Roman" w:eastAsia="Times New Roman" w:cs="Times New Roman"/>
          <w:sz w:val="24"/>
          <w:szCs w:val="20"/>
          <w:lang w:eastAsia="es-ES"/>
        </w:rPr>
      </w:pPr>
    </w:p>
    <w:p>
      <w:pPr>
        <w:tabs>
          <w:tab w:val="left" w:pos="-720"/>
          <w:tab w:val="left" w:pos="0"/>
        </w:tabs>
        <w:suppressAutoHyphens/>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spacing w:val="-3"/>
          <w:position w:val="-32"/>
          <w:sz w:val="24"/>
          <w:szCs w:val="20"/>
          <w:lang w:val="en-US" w:eastAsia="es-ES"/>
        </w:rPr>
        <w:object>
          <v:shape id="_x0000_i1026" o:spt="75" type="#_x0000_t75" style="height:38pt;width:285.65pt;" o:ole="t" fillcolor="#000005 [-4142]"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p>
    <w:p>
      <w:pPr>
        <w:tabs>
          <w:tab w:val="left" w:pos="-720"/>
          <w:tab w:val="left" w:pos="0"/>
        </w:tabs>
        <w:suppressAutoHyphens/>
        <w:spacing w:after="0" w:line="240" w:lineRule="auto"/>
        <w:jc w:val="both"/>
        <w:rPr>
          <w:rFonts w:ascii="Times New Roman" w:hAnsi="Times New Roman" w:eastAsia="Times New Roman" w:cs="Times New Roman"/>
          <w:sz w:val="24"/>
          <w:szCs w:val="20"/>
          <w:lang w:eastAsia="es-ES"/>
        </w:rPr>
      </w:pPr>
    </w:p>
    <w:p>
      <w:pPr>
        <w:keepNext/>
        <w:spacing w:after="0" w:line="240" w:lineRule="auto"/>
        <w:outlineLvl w:val="1"/>
        <w:rPr>
          <w:rFonts w:ascii="Times New Roman" w:hAnsi="Times New Roman" w:eastAsia="Times New Roman" w:cs="Times New Roman"/>
          <w:color w:val="FF0000"/>
          <w:sz w:val="24"/>
          <w:szCs w:val="20"/>
          <w:lang w:val="en-US" w:eastAsia="es-ES"/>
        </w:rPr>
      </w:pPr>
      <w:r>
        <w:rPr>
          <w:rFonts w:ascii="Times New Roman" w:hAnsi="Times New Roman" w:eastAsia="Times New Roman" w:cs="Times New Roman"/>
          <w:sz w:val="24"/>
          <w:szCs w:val="20"/>
          <w:lang w:val="en-US" w:eastAsia="es-ES"/>
        </w:rPr>
        <w:t>E</w:t>
      </w:r>
      <w:r>
        <w:rPr>
          <w:rFonts w:ascii="Times New Roman" w:hAnsi="Times New Roman" w:eastAsia="Times New Roman" w:cs="Times New Roman"/>
          <w:i/>
          <w:sz w:val="24"/>
          <w:szCs w:val="20"/>
          <w:lang w:val="en-US" w:eastAsia="es-ES"/>
        </w:rPr>
        <w:t>(</w:t>
      </w:r>
      <w:r>
        <w:rPr>
          <w:rFonts w:ascii="Times New Roman" w:hAnsi="Times New Roman" w:eastAsia="Times New Roman" w:cs="Times New Roman"/>
          <w:i/>
          <w:sz w:val="24"/>
          <w:szCs w:val="20"/>
          <w:lang w:eastAsia="es-ES"/>
        </w:rPr>
        <w:sym w:font="Symbol" w:char="F041"/>
      </w:r>
      <w:r>
        <w:rPr>
          <w:rFonts w:ascii="Times New Roman" w:hAnsi="Times New Roman" w:eastAsia="Times New Roman" w:cs="Times New Roman"/>
          <w:i/>
          <w:sz w:val="24"/>
          <w:szCs w:val="20"/>
          <w:lang w:val="en-US" w:eastAsia="es-ES"/>
        </w:rPr>
        <w:t xml:space="preserve"> (</w:t>
      </w:r>
      <w:r>
        <w:rPr>
          <w:rFonts w:ascii="Times New Roman" w:hAnsi="Times New Roman" w:eastAsia="Times New Roman" w:cs="Times New Roman"/>
          <w:i/>
          <w:sz w:val="24"/>
          <w:szCs w:val="20"/>
          <w:lang w:eastAsia="es-ES"/>
        </w:rPr>
        <w:sym w:font="Symbol" w:char="F0B5"/>
      </w:r>
      <w:r>
        <w:rPr>
          <w:rFonts w:ascii="Times New Roman" w:hAnsi="Times New Roman" w:eastAsia="Times New Roman" w:cs="Times New Roman"/>
          <w:i/>
          <w:sz w:val="24"/>
          <w:szCs w:val="20"/>
          <w:lang w:val="en-US" w:eastAsia="es-ES"/>
        </w:rPr>
        <w:t>)) = [66.180 , 66.740]</w:t>
      </w:r>
    </w:p>
    <w:p>
      <w:pPr>
        <w:rPr>
          <w:rFonts w:ascii="Times New Roman" w:hAnsi="Times New Roman" w:cs="Times New Roman"/>
          <w:sz w:val="24"/>
          <w:szCs w:val="24"/>
          <w:lang w:val="en-US"/>
        </w:rPr>
      </w:pPr>
    </w:p>
    <w:p>
      <w:pPr>
        <w:rPr>
          <w:rFonts w:ascii="Times New Roman" w:hAnsi="Times New Roman" w:cs="Times New Roman"/>
          <w:sz w:val="24"/>
          <w:szCs w:val="24"/>
          <w:lang w:val="en-US"/>
        </w:rPr>
      </w:pPr>
      <w:r>
        <w:rPr>
          <w:rFonts w:ascii="Times New Roman" w:hAnsi="Times New Roman" w:cs="Times New Roman"/>
          <w:sz w:val="24"/>
          <w:szCs w:val="24"/>
          <w:lang w:val="en-US"/>
        </w:rPr>
        <w:t>So that, subjectivity has been eliminated, transforming the previous fuzzy number into a more precise confidence interval, and therefore the intangible variable Ḡ has been adjusted much more, and will range between 66,180 euros and 66,740 euros.</w:t>
      </w:r>
    </w:p>
    <w:p>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5.- CONCLUSIONS.</w:t>
      </w:r>
    </w:p>
    <w:p>
      <w:pPr>
        <w:rPr>
          <w:rFonts w:ascii="Times New Roman" w:hAnsi="Times New Roman" w:cs="Times New Roman"/>
          <w:sz w:val="24"/>
          <w:szCs w:val="24"/>
          <w:lang w:val="en-US"/>
        </w:rPr>
      </w:pPr>
      <w:r>
        <w:rPr>
          <w:rFonts w:ascii="Times New Roman" w:hAnsi="Times New Roman" w:cs="Times New Roman"/>
          <w:sz w:val="24"/>
          <w:szCs w:val="24"/>
          <w:lang w:val="en-US"/>
        </w:rPr>
        <w:t>Improving the competitiveness of a sector depends to a large extent on the development of its business fabric. This statement is especially relevant in the case of SMEs, where size is one of its most relevant characteristics. Specifically, in the agricultural sector, the problem of access to financing is particularly serious, weighing its growth and the success of viable projects.</w:t>
      </w:r>
    </w:p>
    <w:p>
      <w:pPr>
        <w:rPr>
          <w:rFonts w:ascii="Times New Roman" w:hAnsi="Times New Roman" w:cs="Times New Roman"/>
          <w:sz w:val="24"/>
          <w:szCs w:val="24"/>
          <w:lang w:val="en-US"/>
        </w:rPr>
      </w:pPr>
      <w:r>
        <w:rPr>
          <w:rFonts w:ascii="Times New Roman" w:hAnsi="Times New Roman" w:cs="Times New Roman"/>
          <w:sz w:val="24"/>
          <w:szCs w:val="24"/>
          <w:lang w:val="en-US"/>
        </w:rPr>
        <w:t>We are, without a doubt, facing one of the most complex economic stages of recent decades, which covers all economic spheres, since the crisis having originated from a purely financial perspective, its greatest impact has been located on the real economy. No economic agent is free to suffer consequences, starting with families and ending with companies, where the agricultural sector is one of the most punished by the absence of credit.</w:t>
      </w:r>
    </w:p>
    <w:p>
      <w:pPr>
        <w:rPr>
          <w:rFonts w:ascii="Times New Roman" w:hAnsi="Times New Roman" w:cs="Times New Roman"/>
          <w:sz w:val="24"/>
          <w:szCs w:val="24"/>
          <w:lang w:val="en-US"/>
        </w:rPr>
      </w:pPr>
      <w:r>
        <w:rPr>
          <w:rFonts w:ascii="Times New Roman" w:hAnsi="Times New Roman" w:cs="Times New Roman"/>
          <w:sz w:val="24"/>
          <w:szCs w:val="24"/>
          <w:lang w:val="en-US"/>
        </w:rPr>
        <w:t>To partially solve this problem, we propose the creation of a specific bond market for this sector, where financial liabilities can be syndicated and negotiate them.</w:t>
      </w:r>
    </w:p>
    <w:p>
      <w:pPr>
        <w:rPr>
          <w:rFonts w:ascii="Times New Roman" w:hAnsi="Times New Roman" w:cs="Times New Roman"/>
          <w:sz w:val="24"/>
          <w:szCs w:val="24"/>
          <w:lang w:val="en-US"/>
        </w:rPr>
      </w:pPr>
      <w:r>
        <w:rPr>
          <w:rFonts w:ascii="Times New Roman" w:hAnsi="Times New Roman" w:cs="Times New Roman"/>
          <w:sz w:val="24"/>
          <w:szCs w:val="24"/>
          <w:lang w:val="en-US"/>
        </w:rPr>
        <w:t>As a final contribution, it is very interesting the incorporation of a public entity, such as a Regional Ministry, regional government, local or public company, which means an increase in the exit rating (BBB or BB +), and the best placement of bonds in the markets. As a second derivative, we would highlight the use of a fuzzy logic technique that allows us to take into account both the uncertainty in the analysis and the possible subjectivity of the analysts, making the model much more robust and solid.</w:t>
      </w:r>
    </w:p>
    <w:p>
      <w:pPr>
        <w:rPr>
          <w:rFonts w:ascii="Times New Roman" w:hAnsi="Times New Roman" w:cs="Times New Roman"/>
          <w:sz w:val="24"/>
          <w:szCs w:val="24"/>
          <w:lang w:val="en-US"/>
        </w:rPr>
      </w:pPr>
      <w:r>
        <w:rPr>
          <w:rFonts w:ascii="Times New Roman" w:hAnsi="Times New Roman" w:cs="Times New Roman"/>
          <w:sz w:val="24"/>
          <w:szCs w:val="24"/>
          <w:lang w:val="en-US"/>
        </w:rPr>
        <w:t>In short, the proposed bond market allows, without needing to have a large size, access to a financing formula inaccessible for small or unlisted companies, allowing financing projects that would otherwise be unviable. In addition, during the life of the bond only the payment of the coupons would have to be assumed, being able to allocate most of the generated resources to strengthen the business project.</w:t>
      </w:r>
    </w:p>
    <w:p>
      <w:pPr>
        <w:rPr>
          <w:rFonts w:ascii="Times New Roman" w:hAnsi="Times New Roman" w:cs="Times New Roman"/>
          <w:sz w:val="24"/>
          <w:szCs w:val="24"/>
          <w:lang w:val="en-US"/>
        </w:rPr>
      </w:pPr>
      <w:r>
        <w:rPr>
          <w:rFonts w:ascii="Times New Roman" w:hAnsi="Times New Roman" w:cs="Times New Roman"/>
          <w:sz w:val="24"/>
          <w:szCs w:val="24"/>
          <w:lang w:val="en-US"/>
        </w:rPr>
        <w:t>Finally there is a social aspect, in underdeveloped countries, where agriculture, and in general the primary sector is vital, and in many cases it does not find the most suitable channels for its development, being able to finance agricultural projects in North Africa for example.</w:t>
      </w: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sz w:val="24"/>
          <w:szCs w:val="24"/>
          <w:lang w:val="en-US"/>
        </w:rPr>
      </w:pPr>
    </w:p>
    <w:p>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BIBLIOGRAPHICAL REFERENCES.</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val="en-US" w:eastAsia="es-ES"/>
        </w:rPr>
        <w:t>ABED, M.; DALE, B.</w:t>
      </w:r>
      <w:r>
        <w:rPr>
          <w:rFonts w:ascii="Times New Roman" w:hAnsi="Times New Roman" w:eastAsia="Times New Roman" w:cs="Times New Roman"/>
          <w:sz w:val="24"/>
          <w:szCs w:val="20"/>
          <w:lang w:val="en-US" w:eastAsia="es-ES"/>
        </w:rPr>
        <w:t xml:space="preserve"> (1987): “An attempt to identify quality-related costs in textile manufacturing”, </w:t>
      </w:r>
      <w:r>
        <w:rPr>
          <w:rFonts w:ascii="Times New Roman" w:hAnsi="Times New Roman" w:eastAsia="Times New Roman" w:cs="Times New Roman"/>
          <w:i/>
          <w:sz w:val="24"/>
          <w:szCs w:val="20"/>
          <w:lang w:val="en-US" w:eastAsia="es-ES"/>
        </w:rPr>
        <w:t xml:space="preserve">Qual. </w:t>
      </w:r>
      <w:r>
        <w:rPr>
          <w:rFonts w:ascii="Times New Roman" w:hAnsi="Times New Roman" w:eastAsia="Times New Roman" w:cs="Times New Roman"/>
          <w:i/>
          <w:sz w:val="24"/>
          <w:szCs w:val="20"/>
          <w:lang w:eastAsia="es-ES"/>
        </w:rPr>
        <w:t>Assur</w:t>
      </w:r>
      <w:r>
        <w:rPr>
          <w:rFonts w:ascii="Times New Roman" w:hAnsi="Times New Roman" w:eastAsia="Times New Roman" w:cs="Times New Roman"/>
          <w:sz w:val="24"/>
          <w:szCs w:val="20"/>
          <w:lang w:eastAsia="es-ES"/>
        </w:rPr>
        <w:t>, nº13, febrero: 41 – 45.</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ASOCIACIÓN ESPAÑOLA DE CONTABILIDAD Y ADMINISTRACIÓN DE EMPRESAS</w:t>
      </w:r>
      <w:r>
        <w:rPr>
          <w:rFonts w:ascii="Times New Roman" w:hAnsi="Times New Roman" w:eastAsia="Times New Roman" w:cs="Times New Roman"/>
          <w:sz w:val="24"/>
          <w:szCs w:val="20"/>
          <w:lang w:eastAsia="es-ES"/>
        </w:rPr>
        <w:t xml:space="preserve"> (1995):</w:t>
      </w:r>
      <w:r>
        <w:rPr>
          <w:rFonts w:ascii="Times New Roman" w:hAnsi="Times New Roman" w:eastAsia="Times New Roman" w:cs="Times New Roman"/>
          <w:i/>
          <w:sz w:val="24"/>
          <w:szCs w:val="20"/>
          <w:lang w:eastAsia="es-ES"/>
        </w:rPr>
        <w:t xml:space="preserve"> Principios de Contabilidad de Gestión, documento nº11: Costes de Calidad.</w:t>
      </w:r>
      <w:r>
        <w:rPr>
          <w:rFonts w:ascii="Times New Roman" w:hAnsi="Times New Roman" w:eastAsia="Times New Roman" w:cs="Times New Roman"/>
          <w:sz w:val="24"/>
          <w:szCs w:val="20"/>
          <w:lang w:eastAsia="es-ES"/>
        </w:rPr>
        <w:t xml:space="preserve"> Madrid. AECA.</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AMAT, O.</w:t>
      </w:r>
      <w:r>
        <w:rPr>
          <w:rFonts w:ascii="Times New Roman" w:hAnsi="Times New Roman" w:eastAsia="Times New Roman" w:cs="Times New Roman"/>
          <w:sz w:val="24"/>
          <w:szCs w:val="20"/>
          <w:lang w:eastAsia="es-ES"/>
        </w:rPr>
        <w:t xml:space="preserve"> (1.992): </w:t>
      </w:r>
      <w:r>
        <w:rPr>
          <w:rFonts w:ascii="Times New Roman" w:hAnsi="Times New Roman" w:eastAsia="Times New Roman" w:cs="Times New Roman"/>
          <w:i/>
          <w:sz w:val="24"/>
          <w:szCs w:val="20"/>
          <w:lang w:eastAsia="es-ES"/>
        </w:rPr>
        <w:t>Costes de Calidad y de No Calidad</w:t>
      </w:r>
      <w:r>
        <w:rPr>
          <w:rFonts w:ascii="Times New Roman" w:hAnsi="Times New Roman" w:eastAsia="Times New Roman" w:cs="Times New Roman"/>
          <w:sz w:val="24"/>
          <w:szCs w:val="20"/>
          <w:lang w:eastAsia="es-ES"/>
        </w:rPr>
        <w:t>. Barcelona. Gestión 2.000</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eastAsia="es-ES"/>
        </w:rPr>
        <w:t>BIBLIOTECA CLÁSICA GREDO</w:t>
      </w:r>
      <w:r>
        <w:rPr>
          <w:rFonts w:ascii="Times New Roman" w:hAnsi="Times New Roman" w:eastAsia="Times New Roman" w:cs="Times New Roman"/>
          <w:sz w:val="24"/>
          <w:szCs w:val="20"/>
          <w:lang w:eastAsia="es-ES"/>
        </w:rPr>
        <w:t xml:space="preserve"> (1985): </w:t>
      </w:r>
      <w:r>
        <w:rPr>
          <w:rFonts w:ascii="Times New Roman" w:hAnsi="Times New Roman" w:eastAsia="Times New Roman" w:cs="Times New Roman"/>
          <w:i/>
          <w:sz w:val="24"/>
          <w:szCs w:val="20"/>
          <w:lang w:eastAsia="es-ES"/>
        </w:rPr>
        <w:t>Aristóteles. Tratado de lógica (ORGANON),</w:t>
      </w:r>
      <w:r>
        <w:rPr>
          <w:rFonts w:ascii="Times New Roman" w:hAnsi="Times New Roman" w:eastAsia="Times New Roman" w:cs="Times New Roman"/>
          <w:sz w:val="24"/>
          <w:szCs w:val="20"/>
          <w:lang w:eastAsia="es-ES"/>
        </w:rPr>
        <w:t xml:space="preserve"> Vol. </w:t>
      </w:r>
      <w:r>
        <w:rPr>
          <w:rFonts w:ascii="Times New Roman" w:hAnsi="Times New Roman" w:eastAsia="Times New Roman" w:cs="Times New Roman"/>
          <w:sz w:val="24"/>
          <w:szCs w:val="20"/>
          <w:lang w:val="en-US" w:eastAsia="es-ES"/>
        </w:rPr>
        <w:t>I y II, Madrid.</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 xml:space="preserve">BREWER, P.; GATAIN, A.; REEVE, J. </w:t>
      </w:r>
      <w:r>
        <w:rPr>
          <w:rFonts w:ascii="Times New Roman" w:hAnsi="Times New Roman" w:eastAsia="Times New Roman" w:cs="Times New Roman"/>
          <w:sz w:val="24"/>
          <w:szCs w:val="20"/>
          <w:lang w:val="en-US" w:eastAsia="es-ES"/>
        </w:rPr>
        <w:t xml:space="preserve">(1993): “Managering Uncertainty”, </w:t>
      </w:r>
      <w:r>
        <w:rPr>
          <w:rFonts w:ascii="Times New Roman" w:hAnsi="Times New Roman" w:eastAsia="Times New Roman" w:cs="Times New Roman"/>
          <w:i/>
          <w:sz w:val="24"/>
          <w:szCs w:val="20"/>
          <w:lang w:val="en-US" w:eastAsia="es-ES"/>
        </w:rPr>
        <w:t xml:space="preserve">Management Accounting, </w:t>
      </w:r>
      <w:r>
        <w:rPr>
          <w:rFonts w:ascii="Times New Roman" w:hAnsi="Times New Roman" w:eastAsia="Times New Roman" w:cs="Times New Roman"/>
          <w:sz w:val="24"/>
          <w:szCs w:val="20"/>
          <w:lang w:val="en-US" w:eastAsia="es-ES"/>
        </w:rPr>
        <w:t>junio: 39 – 42.</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BROTO, J</w:t>
      </w:r>
      <w:r>
        <w:rPr>
          <w:rFonts w:ascii="Times New Roman" w:hAnsi="Times New Roman" w:eastAsia="Times New Roman" w:cs="Times New Roman"/>
          <w:sz w:val="24"/>
          <w:szCs w:val="20"/>
          <w:lang w:eastAsia="es-ES"/>
        </w:rPr>
        <w:t>. (1996): “Sistema de Costes y Control de Calidad”,</w:t>
      </w:r>
      <w:r>
        <w:rPr>
          <w:rFonts w:ascii="Times New Roman" w:hAnsi="Times New Roman" w:eastAsia="Times New Roman" w:cs="Times New Roman"/>
          <w:i/>
          <w:sz w:val="24"/>
          <w:szCs w:val="20"/>
          <w:lang w:eastAsia="es-ES"/>
        </w:rPr>
        <w:t xml:space="preserve"> Revista Española de Financiación y Contabilidad</w:t>
      </w:r>
      <w:r>
        <w:rPr>
          <w:rFonts w:ascii="Times New Roman" w:hAnsi="Times New Roman" w:eastAsia="Times New Roman" w:cs="Times New Roman"/>
          <w:sz w:val="24"/>
          <w:szCs w:val="20"/>
          <w:lang w:eastAsia="es-ES"/>
        </w:rPr>
        <w:t>, Vol.XXV, nº88, julio-septiembre: 657-681.</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BROWN, F.; KANE, R.</w:t>
      </w:r>
      <w:r>
        <w:rPr>
          <w:rFonts w:ascii="Times New Roman" w:hAnsi="Times New Roman" w:eastAsia="Times New Roman" w:cs="Times New Roman"/>
          <w:sz w:val="24"/>
          <w:szCs w:val="20"/>
          <w:lang w:val="en-US" w:eastAsia="es-ES"/>
        </w:rPr>
        <w:t xml:space="preserve"> (1987):</w:t>
      </w:r>
      <w:r>
        <w:rPr>
          <w:rFonts w:ascii="Times New Roman" w:hAnsi="Times New Roman" w:eastAsia="Times New Roman" w:cs="Times New Roman"/>
          <w:i/>
          <w:sz w:val="24"/>
          <w:szCs w:val="20"/>
          <w:lang w:val="en-US" w:eastAsia="es-ES"/>
        </w:rPr>
        <w:t xml:space="preserve"> </w:t>
      </w:r>
      <w:r>
        <w:rPr>
          <w:rFonts w:ascii="Times New Roman" w:hAnsi="Times New Roman" w:eastAsia="Times New Roman" w:cs="Times New Roman"/>
          <w:sz w:val="24"/>
          <w:szCs w:val="20"/>
          <w:lang w:val="en-US" w:eastAsia="es-ES"/>
        </w:rPr>
        <w:t>“Quality Cost and Profit Performance”</w:t>
      </w:r>
      <w:r>
        <w:rPr>
          <w:rFonts w:ascii="Times New Roman" w:hAnsi="Times New Roman" w:eastAsia="Times New Roman" w:cs="Times New Roman"/>
          <w:i/>
          <w:sz w:val="24"/>
          <w:szCs w:val="20"/>
          <w:lang w:val="en-US" w:eastAsia="es-ES"/>
        </w:rPr>
        <w:t xml:space="preserve">, </w:t>
      </w:r>
      <w:r>
        <w:rPr>
          <w:rFonts w:ascii="Times New Roman" w:hAnsi="Times New Roman" w:eastAsia="Times New Roman" w:cs="Times New Roman"/>
          <w:sz w:val="24"/>
          <w:szCs w:val="20"/>
          <w:lang w:val="en-US" w:eastAsia="es-ES"/>
        </w:rPr>
        <w:t xml:space="preserve">en GRIMM, A. (ASQC Quality Costs Committee), </w:t>
      </w:r>
      <w:r>
        <w:rPr>
          <w:rFonts w:ascii="Times New Roman" w:hAnsi="Times New Roman" w:eastAsia="Times New Roman" w:cs="Times New Roman"/>
          <w:i/>
          <w:sz w:val="24"/>
          <w:szCs w:val="20"/>
          <w:lang w:val="en-US" w:eastAsia="es-ES"/>
        </w:rPr>
        <w:t>Quality Costs: ideas &amp; applications, vol 1,</w:t>
      </w:r>
      <w:r>
        <w:rPr>
          <w:rFonts w:ascii="Times New Roman" w:hAnsi="Times New Roman" w:eastAsia="Times New Roman" w:cs="Times New Roman"/>
          <w:sz w:val="24"/>
          <w:szCs w:val="20"/>
          <w:lang w:val="en-US" w:eastAsia="es-ES"/>
        </w:rPr>
        <w:t xml:space="preserve"> ASQC Quality Press, Milwaukee: 208- 220.</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BUENO, F.</w:t>
      </w:r>
      <w:r>
        <w:rPr>
          <w:rFonts w:ascii="Times New Roman" w:hAnsi="Times New Roman" w:eastAsia="Times New Roman" w:cs="Times New Roman"/>
          <w:sz w:val="24"/>
          <w:szCs w:val="20"/>
          <w:lang w:eastAsia="es-ES"/>
        </w:rPr>
        <w:t xml:space="preserve"> (1991): “La gestión basada en el factor tiempo”, </w:t>
      </w:r>
      <w:r>
        <w:rPr>
          <w:rFonts w:ascii="Times New Roman" w:hAnsi="Times New Roman" w:eastAsia="Times New Roman" w:cs="Times New Roman"/>
          <w:i/>
          <w:sz w:val="24"/>
          <w:szCs w:val="20"/>
          <w:lang w:eastAsia="es-ES"/>
        </w:rPr>
        <w:t>Boletín de Estudios Económicos</w:t>
      </w:r>
      <w:r>
        <w:rPr>
          <w:rFonts w:ascii="Times New Roman" w:hAnsi="Times New Roman" w:eastAsia="Times New Roman" w:cs="Times New Roman"/>
          <w:sz w:val="24"/>
          <w:szCs w:val="20"/>
          <w:lang w:eastAsia="es-ES"/>
        </w:rPr>
        <w:t>, nº143, agosto: 267 – 275.</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CAMISON, C.</w:t>
      </w:r>
      <w:r>
        <w:rPr>
          <w:rFonts w:ascii="Times New Roman" w:hAnsi="Times New Roman" w:eastAsia="Times New Roman" w:cs="Times New Roman"/>
          <w:sz w:val="24"/>
          <w:szCs w:val="20"/>
          <w:lang w:val="en-US" w:eastAsia="es-ES"/>
        </w:rPr>
        <w:t xml:space="preserve"> (1998): “Total Quality Management and Cultural Change: A Model of Organizational Development”, </w:t>
      </w:r>
      <w:r>
        <w:rPr>
          <w:rFonts w:ascii="Times New Roman" w:hAnsi="Times New Roman" w:eastAsia="Times New Roman" w:cs="Times New Roman"/>
          <w:i/>
          <w:sz w:val="24"/>
          <w:szCs w:val="20"/>
          <w:lang w:val="en-US" w:eastAsia="es-ES"/>
        </w:rPr>
        <w:t>International Journal of Technology Management, 16:</w:t>
      </w:r>
      <w:r>
        <w:rPr>
          <w:rFonts w:ascii="Times New Roman" w:hAnsi="Times New Roman" w:eastAsia="Times New Roman" w:cs="Times New Roman"/>
          <w:sz w:val="24"/>
          <w:szCs w:val="20"/>
          <w:lang w:val="en-US" w:eastAsia="es-ES"/>
        </w:rPr>
        <w:t xml:space="preserve"> 479 – 493.</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CAMPANELLA, J.</w:t>
      </w:r>
      <w:r>
        <w:rPr>
          <w:rFonts w:ascii="Times New Roman" w:hAnsi="Times New Roman" w:eastAsia="Times New Roman" w:cs="Times New Roman"/>
          <w:sz w:val="24"/>
          <w:szCs w:val="20"/>
          <w:lang w:eastAsia="es-ES"/>
        </w:rPr>
        <w:t xml:space="preserve"> (1992): </w:t>
      </w:r>
      <w:r>
        <w:rPr>
          <w:rFonts w:ascii="Times New Roman" w:hAnsi="Times New Roman" w:eastAsia="Times New Roman" w:cs="Times New Roman"/>
          <w:i/>
          <w:sz w:val="24"/>
          <w:szCs w:val="20"/>
          <w:lang w:eastAsia="es-ES"/>
        </w:rPr>
        <w:t>Principios de los Costes de la Calidad</w:t>
      </w:r>
      <w:r>
        <w:rPr>
          <w:rFonts w:ascii="Times New Roman" w:hAnsi="Times New Roman" w:eastAsia="Times New Roman" w:cs="Times New Roman"/>
          <w:sz w:val="24"/>
          <w:szCs w:val="20"/>
          <w:lang w:eastAsia="es-ES"/>
        </w:rPr>
        <w:t>, Madrid, Díaz de Santos.</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CHAN, Y.; YUAN, Y.</w:t>
      </w:r>
      <w:r>
        <w:rPr>
          <w:rFonts w:ascii="Times New Roman" w:hAnsi="Times New Roman" w:eastAsia="Times New Roman" w:cs="Times New Roman"/>
          <w:sz w:val="24"/>
          <w:szCs w:val="20"/>
          <w:lang w:val="en-US" w:eastAsia="es-ES"/>
        </w:rPr>
        <w:t xml:space="preserve"> (1990): “Dearling with fuzziness in Cost-Volume-Profit analysis”, </w:t>
      </w:r>
      <w:r>
        <w:rPr>
          <w:rFonts w:ascii="Times New Roman" w:hAnsi="Times New Roman" w:eastAsia="Times New Roman" w:cs="Times New Roman"/>
          <w:i/>
          <w:sz w:val="24"/>
          <w:szCs w:val="20"/>
          <w:lang w:val="en-US" w:eastAsia="es-ES"/>
        </w:rPr>
        <w:t>Accounting &amp; Business Research</w:t>
      </w:r>
      <w:r>
        <w:rPr>
          <w:rFonts w:ascii="Times New Roman" w:hAnsi="Times New Roman" w:eastAsia="Times New Roman" w:cs="Times New Roman"/>
          <w:sz w:val="24"/>
          <w:szCs w:val="20"/>
          <w:lang w:val="en-US" w:eastAsia="es-ES"/>
        </w:rPr>
        <w:t xml:space="preserve"> 78: 83 – 95.</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COOLEY, J.; HICKS, J.</w:t>
      </w:r>
      <w:r>
        <w:rPr>
          <w:rFonts w:ascii="Times New Roman" w:hAnsi="Times New Roman" w:eastAsia="Times New Roman" w:cs="Times New Roman"/>
          <w:sz w:val="24"/>
          <w:szCs w:val="20"/>
          <w:lang w:val="en-US" w:eastAsia="es-ES"/>
        </w:rPr>
        <w:t xml:space="preserve"> (1983): “A fuzzy Set Approach to aggregate internal control judgments”, </w:t>
      </w:r>
      <w:r>
        <w:rPr>
          <w:rFonts w:ascii="Times New Roman" w:hAnsi="Times New Roman" w:eastAsia="Times New Roman" w:cs="Times New Roman"/>
          <w:i/>
          <w:sz w:val="24"/>
          <w:szCs w:val="20"/>
          <w:lang w:val="en-US" w:eastAsia="es-ES"/>
        </w:rPr>
        <w:t>Managament Science</w:t>
      </w:r>
      <w:r>
        <w:rPr>
          <w:rFonts w:ascii="Times New Roman" w:hAnsi="Times New Roman" w:eastAsia="Times New Roman" w:cs="Times New Roman"/>
          <w:sz w:val="24"/>
          <w:szCs w:val="20"/>
          <w:lang w:val="en-US" w:eastAsia="es-ES"/>
        </w:rPr>
        <w:t>, 3: 317 – 334.</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DALE, B.; PLUNKETT, J.</w:t>
      </w:r>
      <w:r>
        <w:rPr>
          <w:rFonts w:ascii="Times New Roman" w:hAnsi="Times New Roman" w:eastAsia="Times New Roman" w:cs="Times New Roman"/>
          <w:sz w:val="24"/>
          <w:szCs w:val="20"/>
          <w:lang w:eastAsia="es-ES"/>
        </w:rPr>
        <w:t xml:space="preserve"> (1993): </w:t>
      </w:r>
      <w:r>
        <w:rPr>
          <w:rFonts w:ascii="Times New Roman" w:hAnsi="Times New Roman" w:eastAsia="Times New Roman" w:cs="Times New Roman"/>
          <w:i/>
          <w:sz w:val="24"/>
          <w:szCs w:val="20"/>
          <w:lang w:eastAsia="es-ES"/>
        </w:rPr>
        <w:t>Los costos en la calidad</w:t>
      </w:r>
      <w:r>
        <w:rPr>
          <w:rFonts w:ascii="Times New Roman" w:hAnsi="Times New Roman" w:eastAsia="Times New Roman" w:cs="Times New Roman"/>
          <w:sz w:val="24"/>
          <w:szCs w:val="20"/>
          <w:lang w:eastAsia="es-ES"/>
        </w:rPr>
        <w:t>, Mexico, Editorial Iberoamericana.</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ENRICK, N.; LESTER, R.; y MOTTLEY, H.</w:t>
      </w:r>
      <w:r>
        <w:rPr>
          <w:rFonts w:ascii="Times New Roman" w:hAnsi="Times New Roman" w:eastAsia="Times New Roman" w:cs="Times New Roman"/>
          <w:sz w:val="24"/>
          <w:szCs w:val="20"/>
          <w:lang w:eastAsia="es-ES"/>
        </w:rPr>
        <w:t xml:space="preserve"> (1989): </w:t>
      </w:r>
      <w:r>
        <w:rPr>
          <w:rFonts w:ascii="Times New Roman" w:hAnsi="Times New Roman" w:eastAsia="Times New Roman" w:cs="Times New Roman"/>
          <w:i/>
          <w:sz w:val="24"/>
          <w:szCs w:val="20"/>
          <w:lang w:eastAsia="es-ES"/>
        </w:rPr>
        <w:t>Control de Calidad y Beneficio Empresarial</w:t>
      </w:r>
      <w:r>
        <w:rPr>
          <w:rFonts w:ascii="Times New Roman" w:hAnsi="Times New Roman" w:eastAsia="Times New Roman" w:cs="Times New Roman"/>
          <w:sz w:val="24"/>
          <w:szCs w:val="20"/>
          <w:lang w:eastAsia="es-ES"/>
        </w:rPr>
        <w:t>, Madrid, Días de Santos.</w:t>
      </w:r>
    </w:p>
    <w:p>
      <w:pPr>
        <w:spacing w:after="0" w:line="240" w:lineRule="auto"/>
        <w:jc w:val="both"/>
        <w:rPr>
          <w:rFonts w:ascii="Times New Roman" w:hAnsi="Times New Roman" w:eastAsia="Times New Roman" w:cs="Times New Roman"/>
          <w:b/>
          <w:sz w:val="24"/>
          <w:szCs w:val="20"/>
          <w:lang w:val="en-US" w:eastAsia="es-ES"/>
        </w:rPr>
      </w:pPr>
      <w:r>
        <w:rPr>
          <w:rFonts w:ascii="Times New Roman" w:hAnsi="Times New Roman" w:eastAsia="Times New Roman" w:cs="Times New Roman"/>
          <w:b/>
          <w:sz w:val="24"/>
          <w:szCs w:val="20"/>
          <w:lang w:val="en-US" w:eastAsia="es-ES"/>
        </w:rPr>
        <w:t>FAIRCLOTH, A.; RICCHIUTE, D.</w:t>
      </w:r>
      <w:r>
        <w:rPr>
          <w:rFonts w:ascii="Times New Roman" w:hAnsi="Times New Roman" w:eastAsia="Times New Roman" w:cs="Times New Roman"/>
          <w:sz w:val="24"/>
          <w:szCs w:val="20"/>
          <w:lang w:val="en-US" w:eastAsia="es-ES"/>
        </w:rPr>
        <w:t xml:space="preserve"> (1981): “Ambiguity intolerance and financial reporting alternative”, </w:t>
      </w:r>
      <w:r>
        <w:rPr>
          <w:rFonts w:ascii="Times New Roman" w:hAnsi="Times New Roman" w:eastAsia="Times New Roman" w:cs="Times New Roman"/>
          <w:i/>
          <w:sz w:val="24"/>
          <w:szCs w:val="20"/>
          <w:lang w:val="en-US" w:eastAsia="es-ES"/>
        </w:rPr>
        <w:t>Accounting, organizations and society</w:t>
      </w:r>
      <w:r>
        <w:rPr>
          <w:rFonts w:ascii="Times New Roman" w:hAnsi="Times New Roman" w:eastAsia="Times New Roman" w:cs="Times New Roman"/>
          <w:sz w:val="24"/>
          <w:szCs w:val="20"/>
          <w:lang w:val="en-US" w:eastAsia="es-ES"/>
        </w:rPr>
        <w:t>, 6: 53 – 67.</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FEIGENBAUM, A.</w:t>
      </w:r>
      <w:r>
        <w:rPr>
          <w:rFonts w:ascii="Times New Roman" w:hAnsi="Times New Roman" w:eastAsia="Times New Roman" w:cs="Times New Roman"/>
          <w:sz w:val="24"/>
          <w:szCs w:val="20"/>
          <w:lang w:val="en-US" w:eastAsia="es-ES"/>
        </w:rPr>
        <w:t xml:space="preserve"> (1986):“Quality: the Strategic Business Imperative”, </w:t>
      </w:r>
      <w:r>
        <w:rPr>
          <w:rFonts w:ascii="Times New Roman" w:hAnsi="Times New Roman" w:eastAsia="Times New Roman" w:cs="Times New Roman"/>
          <w:i/>
          <w:sz w:val="24"/>
          <w:szCs w:val="20"/>
          <w:lang w:val="en-US" w:eastAsia="es-ES"/>
        </w:rPr>
        <w:t>Quality Progress</w:t>
      </w:r>
      <w:r>
        <w:rPr>
          <w:rFonts w:ascii="Times New Roman" w:hAnsi="Times New Roman" w:eastAsia="Times New Roman" w:cs="Times New Roman"/>
          <w:sz w:val="24"/>
          <w:szCs w:val="20"/>
          <w:lang w:val="en-US" w:eastAsia="es-ES"/>
        </w:rPr>
        <w:t>, febrero: 26 – 30.</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FEIGENBAUM, A.</w:t>
      </w:r>
      <w:r>
        <w:rPr>
          <w:rFonts w:ascii="Times New Roman" w:hAnsi="Times New Roman" w:eastAsia="Times New Roman" w:cs="Times New Roman"/>
          <w:sz w:val="24"/>
          <w:szCs w:val="20"/>
          <w:lang w:eastAsia="es-ES"/>
        </w:rPr>
        <w:t xml:space="preserve"> (1994): </w:t>
      </w:r>
      <w:r>
        <w:rPr>
          <w:rFonts w:ascii="Times New Roman" w:hAnsi="Times New Roman" w:eastAsia="Times New Roman" w:cs="Times New Roman"/>
          <w:i/>
          <w:sz w:val="24"/>
          <w:szCs w:val="20"/>
          <w:lang w:eastAsia="es-ES"/>
        </w:rPr>
        <w:t>Control Total de la Calidad</w:t>
      </w:r>
      <w:r>
        <w:rPr>
          <w:rFonts w:ascii="Times New Roman" w:hAnsi="Times New Roman" w:eastAsia="Times New Roman" w:cs="Times New Roman"/>
          <w:sz w:val="24"/>
          <w:szCs w:val="20"/>
          <w:lang w:eastAsia="es-ES"/>
        </w:rPr>
        <w:t>, Mexico, CECSA, S.A.</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FUENTES, P.</w:t>
      </w:r>
      <w:r>
        <w:rPr>
          <w:rFonts w:ascii="Times New Roman" w:hAnsi="Times New Roman" w:eastAsia="Times New Roman" w:cs="Times New Roman"/>
          <w:sz w:val="24"/>
          <w:szCs w:val="20"/>
          <w:lang w:eastAsia="es-ES"/>
        </w:rPr>
        <w:t xml:space="preserve"> (1996): “Los indicadores no financieros en la gestión de la Calidad Total del área de operaciones”. </w:t>
      </w:r>
      <w:r>
        <w:rPr>
          <w:rFonts w:ascii="Times New Roman" w:hAnsi="Times New Roman" w:eastAsia="Times New Roman" w:cs="Times New Roman"/>
          <w:i/>
          <w:sz w:val="24"/>
          <w:szCs w:val="20"/>
          <w:lang w:eastAsia="es-ES"/>
        </w:rPr>
        <w:t xml:space="preserve">Revista Española de Financiación y Contabilidad, </w:t>
      </w:r>
      <w:r>
        <w:rPr>
          <w:rFonts w:ascii="Times New Roman" w:hAnsi="Times New Roman" w:eastAsia="Times New Roman" w:cs="Times New Roman"/>
          <w:sz w:val="24"/>
          <w:szCs w:val="20"/>
          <w:lang w:eastAsia="es-ES"/>
        </w:rPr>
        <w:t>octubre–diciembre: 937–960.</w:t>
      </w:r>
    </w:p>
    <w:p>
      <w:pPr>
        <w:spacing w:after="0" w:line="240" w:lineRule="auto"/>
        <w:jc w:val="both"/>
        <w:rPr>
          <w:rFonts w:ascii="Times New Roman" w:hAnsi="Times New Roman" w:eastAsia="Times New Roman" w:cs="Times New Roman"/>
          <w:sz w:val="24"/>
          <w:szCs w:val="20"/>
          <w:lang w:val="en-GB" w:eastAsia="es-ES"/>
        </w:rPr>
      </w:pPr>
      <w:r>
        <w:rPr>
          <w:rFonts w:ascii="Times New Roman" w:hAnsi="Times New Roman" w:eastAsia="Times New Roman" w:cs="Times New Roman"/>
          <w:b/>
          <w:sz w:val="24"/>
          <w:szCs w:val="20"/>
          <w:lang w:eastAsia="es-ES"/>
        </w:rPr>
        <w:t>FUENTES, P.</w:t>
      </w:r>
      <w:r>
        <w:rPr>
          <w:rFonts w:ascii="Times New Roman" w:hAnsi="Times New Roman" w:eastAsia="Times New Roman" w:cs="Times New Roman"/>
          <w:sz w:val="24"/>
          <w:szCs w:val="20"/>
          <w:lang w:eastAsia="es-ES"/>
        </w:rPr>
        <w:t xml:space="preserve"> (1998): “Los Costes de la calidad: un reto para la gestión”. </w:t>
      </w:r>
      <w:r>
        <w:rPr>
          <w:rFonts w:ascii="Times New Roman" w:hAnsi="Times New Roman" w:eastAsia="Times New Roman" w:cs="Times New Roman"/>
          <w:i/>
          <w:sz w:val="24"/>
          <w:szCs w:val="20"/>
          <w:lang w:val="en-GB" w:eastAsia="es-ES"/>
        </w:rPr>
        <w:t>ESIC MARKET,</w:t>
      </w:r>
      <w:r>
        <w:rPr>
          <w:rFonts w:ascii="Times New Roman" w:hAnsi="Times New Roman" w:eastAsia="Times New Roman" w:cs="Times New Roman"/>
          <w:sz w:val="24"/>
          <w:szCs w:val="20"/>
          <w:lang w:val="en-GB" w:eastAsia="es-ES"/>
        </w:rPr>
        <w:t xml:space="preserve"> enero-abril: 149-158.</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val="en-US" w:eastAsia="es-ES"/>
        </w:rPr>
        <w:t>GEORGESCU, V.</w:t>
      </w:r>
      <w:r>
        <w:rPr>
          <w:rFonts w:ascii="Times New Roman" w:hAnsi="Times New Roman" w:eastAsia="Times New Roman" w:cs="Times New Roman"/>
          <w:sz w:val="24"/>
          <w:szCs w:val="20"/>
          <w:lang w:val="en-US" w:eastAsia="es-ES"/>
        </w:rPr>
        <w:t xml:space="preserve"> (1998): “Flexible extimation of cost functions based on fuzzy logic modeling approach”, </w:t>
      </w:r>
      <w:r>
        <w:rPr>
          <w:rFonts w:ascii="Times New Roman" w:hAnsi="Times New Roman" w:eastAsia="Times New Roman" w:cs="Times New Roman"/>
          <w:i/>
          <w:sz w:val="24"/>
          <w:szCs w:val="20"/>
          <w:lang w:val="en-US" w:eastAsia="es-ES"/>
        </w:rPr>
        <w:t xml:space="preserve">Fuzzy Economic Review, </w:t>
      </w:r>
      <w:r>
        <w:rPr>
          <w:rFonts w:ascii="Times New Roman" w:hAnsi="Times New Roman" w:eastAsia="Times New Roman" w:cs="Times New Roman"/>
          <w:sz w:val="24"/>
          <w:szCs w:val="20"/>
          <w:lang w:val="en-US" w:eastAsia="es-ES"/>
        </w:rPr>
        <w:t xml:space="preserve">2, vol. </w:t>
      </w:r>
      <w:r>
        <w:rPr>
          <w:rFonts w:ascii="Times New Roman" w:hAnsi="Times New Roman" w:eastAsia="Times New Roman" w:cs="Times New Roman"/>
          <w:sz w:val="24"/>
          <w:szCs w:val="20"/>
          <w:lang w:eastAsia="es-ES"/>
        </w:rPr>
        <w:t>III, noviembre: 49 – 68.</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GIL, J.</w:t>
      </w:r>
      <w:r>
        <w:rPr>
          <w:rFonts w:ascii="Times New Roman" w:hAnsi="Times New Roman" w:eastAsia="Times New Roman" w:cs="Times New Roman"/>
          <w:sz w:val="24"/>
          <w:szCs w:val="20"/>
          <w:lang w:eastAsia="es-ES"/>
        </w:rPr>
        <w:t xml:space="preserve"> (1990): </w:t>
      </w:r>
      <w:r>
        <w:rPr>
          <w:rFonts w:ascii="Times New Roman" w:hAnsi="Times New Roman" w:eastAsia="Times New Roman" w:cs="Times New Roman"/>
          <w:i/>
          <w:sz w:val="24"/>
          <w:szCs w:val="20"/>
          <w:lang w:eastAsia="es-ES"/>
        </w:rPr>
        <w:t xml:space="preserve">El análisis financiero en la incertidumbre, </w:t>
      </w:r>
      <w:r>
        <w:rPr>
          <w:rFonts w:ascii="Times New Roman" w:hAnsi="Times New Roman" w:eastAsia="Times New Roman" w:cs="Times New Roman"/>
          <w:sz w:val="24"/>
          <w:szCs w:val="20"/>
          <w:lang w:eastAsia="es-ES"/>
        </w:rPr>
        <w:t>Barcelona, Ed. Ariel Economía.</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eastAsia="es-ES"/>
        </w:rPr>
        <w:t>GIL, J.</w:t>
      </w:r>
      <w:r>
        <w:rPr>
          <w:rFonts w:ascii="Times New Roman" w:hAnsi="Times New Roman" w:eastAsia="Times New Roman" w:cs="Times New Roman"/>
          <w:sz w:val="24"/>
          <w:szCs w:val="20"/>
          <w:lang w:eastAsia="es-ES"/>
        </w:rPr>
        <w:t xml:space="preserve"> (1993): </w:t>
      </w:r>
      <w:r>
        <w:rPr>
          <w:rFonts w:ascii="Times New Roman" w:hAnsi="Times New Roman" w:eastAsia="Times New Roman" w:cs="Times New Roman"/>
          <w:i/>
          <w:sz w:val="24"/>
          <w:szCs w:val="20"/>
          <w:lang w:eastAsia="es-ES"/>
        </w:rPr>
        <w:t>Fundamentos del análisis financiero</w:t>
      </w:r>
      <w:r>
        <w:rPr>
          <w:rFonts w:ascii="Times New Roman" w:hAnsi="Times New Roman" w:eastAsia="Times New Roman" w:cs="Times New Roman"/>
          <w:sz w:val="24"/>
          <w:szCs w:val="20"/>
          <w:lang w:eastAsia="es-ES"/>
        </w:rPr>
        <w:t xml:space="preserve">, Barcelona, Ed. </w:t>
      </w:r>
      <w:r>
        <w:rPr>
          <w:rFonts w:ascii="Times New Roman" w:hAnsi="Times New Roman" w:eastAsia="Times New Roman" w:cs="Times New Roman"/>
          <w:sz w:val="24"/>
          <w:szCs w:val="20"/>
          <w:lang w:val="en-US" w:eastAsia="es-ES"/>
        </w:rPr>
        <w:t>Ariel Economía.</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val="en-US" w:eastAsia="es-ES"/>
        </w:rPr>
        <w:t>GIL , J.</w:t>
      </w:r>
      <w:r>
        <w:rPr>
          <w:rFonts w:ascii="Times New Roman" w:hAnsi="Times New Roman" w:eastAsia="Times New Roman" w:cs="Times New Roman"/>
          <w:sz w:val="24"/>
          <w:szCs w:val="20"/>
          <w:lang w:val="en-US" w:eastAsia="es-ES"/>
        </w:rPr>
        <w:t xml:space="preserve"> (1996): “Determination of the possible strategies for the reduction of the indebtedness of the company”, </w:t>
      </w:r>
      <w:r>
        <w:rPr>
          <w:rFonts w:ascii="Times New Roman" w:hAnsi="Times New Roman" w:eastAsia="Times New Roman" w:cs="Times New Roman"/>
          <w:i/>
          <w:sz w:val="24"/>
          <w:szCs w:val="20"/>
          <w:lang w:val="en-US" w:eastAsia="es-ES"/>
        </w:rPr>
        <w:t xml:space="preserve">Fuzzy Economic Review, 1, vol. </w:t>
      </w:r>
      <w:r>
        <w:rPr>
          <w:rFonts w:ascii="Times New Roman" w:hAnsi="Times New Roman" w:eastAsia="Times New Roman" w:cs="Times New Roman"/>
          <w:i/>
          <w:sz w:val="24"/>
          <w:szCs w:val="20"/>
          <w:lang w:eastAsia="es-ES"/>
        </w:rPr>
        <w:t>I, mayo:</w:t>
      </w:r>
      <w:r>
        <w:rPr>
          <w:rFonts w:ascii="Times New Roman" w:hAnsi="Times New Roman" w:eastAsia="Times New Roman" w:cs="Times New Roman"/>
          <w:sz w:val="24"/>
          <w:szCs w:val="20"/>
          <w:lang w:eastAsia="es-ES"/>
        </w:rPr>
        <w:t xml:space="preserve"> 59 – 82.</w:t>
      </w:r>
    </w:p>
    <w:p>
      <w:pPr>
        <w:spacing w:after="0" w:line="240" w:lineRule="auto"/>
        <w:jc w:val="both"/>
        <w:rPr>
          <w:rFonts w:ascii="Times New Roman" w:hAnsi="Times New Roman" w:eastAsia="Times New Roman" w:cs="Times New Roman"/>
          <w:sz w:val="24"/>
          <w:szCs w:val="20"/>
          <w:lang w:val="en-GB" w:eastAsia="es-ES"/>
        </w:rPr>
      </w:pPr>
      <w:r>
        <w:rPr>
          <w:rFonts w:ascii="Times New Roman" w:hAnsi="Times New Roman" w:eastAsia="Times New Roman" w:cs="Times New Roman"/>
          <w:b/>
          <w:sz w:val="24"/>
          <w:szCs w:val="20"/>
          <w:lang w:eastAsia="es-ES"/>
        </w:rPr>
        <w:t>GUTIERREZ, I. ; CARMONA, S.</w:t>
      </w:r>
      <w:r>
        <w:rPr>
          <w:rFonts w:ascii="Times New Roman" w:hAnsi="Times New Roman" w:eastAsia="Times New Roman" w:cs="Times New Roman"/>
          <w:sz w:val="24"/>
          <w:szCs w:val="20"/>
          <w:lang w:eastAsia="es-ES"/>
        </w:rPr>
        <w:t xml:space="preserve"> (1992): “El coste de la calidad en ambientes difusos”. </w:t>
      </w:r>
      <w:r>
        <w:rPr>
          <w:rFonts w:ascii="Times New Roman" w:hAnsi="Times New Roman" w:eastAsia="Times New Roman" w:cs="Times New Roman"/>
          <w:sz w:val="24"/>
          <w:szCs w:val="20"/>
          <w:lang w:val="en-GB" w:eastAsia="es-ES"/>
        </w:rPr>
        <w:t>ESIC MARKET, julio – septiembre: 31 – 46.</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GUTIERREZ, I. ; CARMONA, S.</w:t>
      </w:r>
      <w:r>
        <w:rPr>
          <w:rFonts w:ascii="Times New Roman" w:hAnsi="Times New Roman" w:eastAsia="Times New Roman" w:cs="Times New Roman"/>
          <w:sz w:val="24"/>
          <w:szCs w:val="20"/>
          <w:lang w:val="en-US" w:eastAsia="es-ES"/>
        </w:rPr>
        <w:t xml:space="preserve"> (1995): “Ambiguity in Multicriteria Quality Decisions”. </w:t>
      </w:r>
      <w:r>
        <w:rPr>
          <w:rFonts w:ascii="Times New Roman" w:hAnsi="Times New Roman" w:eastAsia="Times New Roman" w:cs="Times New Roman"/>
          <w:i/>
          <w:sz w:val="24"/>
          <w:szCs w:val="20"/>
          <w:lang w:val="en-US" w:eastAsia="es-ES"/>
        </w:rPr>
        <w:t>INTERNATIONAL JOURNAL OF PRODUCTION ECONOMICS</w:t>
      </w:r>
      <w:r>
        <w:rPr>
          <w:rFonts w:ascii="Times New Roman" w:hAnsi="Times New Roman" w:eastAsia="Times New Roman" w:cs="Times New Roman"/>
          <w:sz w:val="24"/>
          <w:szCs w:val="20"/>
          <w:lang w:val="en-US" w:eastAsia="es-ES"/>
        </w:rPr>
        <w:t>, september: 25- 38.</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HARRINGTON, H.J.</w:t>
      </w:r>
      <w:r>
        <w:rPr>
          <w:rFonts w:ascii="Times New Roman" w:hAnsi="Times New Roman" w:eastAsia="Times New Roman" w:cs="Times New Roman"/>
          <w:sz w:val="24"/>
          <w:szCs w:val="20"/>
          <w:lang w:eastAsia="es-ES"/>
        </w:rPr>
        <w:t xml:space="preserve"> (1990): </w:t>
      </w:r>
      <w:r>
        <w:rPr>
          <w:rFonts w:ascii="Times New Roman" w:hAnsi="Times New Roman" w:eastAsia="Times New Roman" w:cs="Times New Roman"/>
          <w:i/>
          <w:sz w:val="24"/>
          <w:szCs w:val="20"/>
          <w:lang w:eastAsia="es-ES"/>
        </w:rPr>
        <w:t>El coste de la mala calidad</w:t>
      </w:r>
      <w:r>
        <w:rPr>
          <w:rFonts w:ascii="Times New Roman" w:hAnsi="Times New Roman" w:eastAsia="Times New Roman" w:cs="Times New Roman"/>
          <w:sz w:val="24"/>
          <w:szCs w:val="20"/>
          <w:lang w:eastAsia="es-ES"/>
        </w:rPr>
        <w:t>, Madrid, Díaz de Santos.</w:t>
      </w:r>
    </w:p>
    <w:p>
      <w:pPr>
        <w:shd w:val="clear" w:color="auto" w:fill="FFFFFF"/>
        <w:spacing w:after="0" w:line="240" w:lineRule="auto"/>
        <w:rPr>
          <w:rFonts w:ascii="Times New Roman" w:hAnsi="Times New Roman" w:eastAsia="Times New Roman" w:cs="Times New Roman"/>
          <w:color w:val="333333"/>
          <w:sz w:val="24"/>
          <w:szCs w:val="24"/>
          <w:lang w:eastAsia="es-ES"/>
        </w:rPr>
      </w:pPr>
      <w:r>
        <w:rPr>
          <w:rFonts w:ascii="Times New Roman" w:hAnsi="Times New Roman" w:eastAsia="Times New Roman" w:cs="Times New Roman"/>
          <w:b/>
          <w:color w:val="333333"/>
          <w:sz w:val="24"/>
          <w:szCs w:val="24"/>
          <w:lang w:val="en-US" w:eastAsia="es-ES"/>
        </w:rPr>
        <w:t>HOLTON, S.; LAWLESS, M.; and McCANN, F</w:t>
      </w:r>
      <w:r>
        <w:rPr>
          <w:rFonts w:ascii="Times New Roman" w:hAnsi="Times New Roman" w:eastAsia="Times New Roman" w:cs="Times New Roman"/>
          <w:color w:val="333333"/>
          <w:sz w:val="24"/>
          <w:szCs w:val="24"/>
          <w:lang w:val="en-US" w:eastAsia="es-ES"/>
        </w:rPr>
        <w:t>. (2.013): “SME Financing conditions in Europe: Credit crunch or fundamentals?</w:t>
      </w:r>
      <w:r>
        <w:rPr>
          <w:rFonts w:ascii="Times New Roman" w:hAnsi="Times New Roman" w:eastAsia="Times New Roman" w:cs="Times New Roman"/>
          <w:i/>
          <w:iCs/>
          <w:color w:val="333333"/>
          <w:sz w:val="24"/>
          <w:szCs w:val="24"/>
          <w:lang w:val="en-US" w:eastAsia="es-ES"/>
        </w:rPr>
        <w:t xml:space="preserve"> </w:t>
      </w:r>
      <w:r>
        <w:rPr>
          <w:rFonts w:ascii="Times New Roman" w:hAnsi="Times New Roman" w:eastAsia="Times New Roman" w:cs="Times New Roman"/>
          <w:i/>
          <w:iCs/>
          <w:color w:val="333333"/>
          <w:sz w:val="24"/>
          <w:szCs w:val="24"/>
          <w:lang w:eastAsia="es-ES"/>
        </w:rPr>
        <w:t xml:space="preserve">National Institute Economic Review </w:t>
      </w:r>
      <w:r>
        <w:rPr>
          <w:rFonts w:ascii="Times New Roman" w:hAnsi="Times New Roman" w:eastAsia="Times New Roman" w:cs="Times New Roman"/>
          <w:color w:val="333333"/>
          <w:sz w:val="24"/>
          <w:szCs w:val="24"/>
          <w:lang w:eastAsia="es-ES"/>
        </w:rPr>
        <w:t>No. 225 (August 2013), pp. R52-R67</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JIMENEZ, M.</w:t>
      </w:r>
      <w:r>
        <w:rPr>
          <w:rFonts w:ascii="Times New Roman" w:hAnsi="Times New Roman" w:eastAsia="Times New Roman" w:cs="Times New Roman"/>
          <w:sz w:val="24"/>
          <w:szCs w:val="20"/>
          <w:lang w:eastAsia="es-ES"/>
        </w:rPr>
        <w:t xml:space="preserve"> (1995): “Elemento de la competitividad: La calidad como coste”,</w:t>
      </w:r>
      <w:r>
        <w:rPr>
          <w:rFonts w:ascii="Times New Roman" w:hAnsi="Times New Roman" w:eastAsia="Times New Roman" w:cs="Times New Roman"/>
          <w:i/>
          <w:sz w:val="24"/>
          <w:szCs w:val="20"/>
          <w:lang w:eastAsia="es-ES"/>
        </w:rPr>
        <w:t xml:space="preserve"> Actualidad Financiera,</w:t>
      </w:r>
      <w:r>
        <w:rPr>
          <w:rFonts w:ascii="Times New Roman" w:hAnsi="Times New Roman" w:eastAsia="Times New Roman" w:cs="Times New Roman"/>
          <w:sz w:val="24"/>
          <w:szCs w:val="20"/>
          <w:lang w:eastAsia="es-ES"/>
        </w:rPr>
        <w:t xml:space="preserve"> nº6, 6 - 12 de febrero: 417-433.</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JURAN, J. GRYNA, F.</w:t>
      </w:r>
      <w:r>
        <w:rPr>
          <w:rFonts w:ascii="Times New Roman" w:hAnsi="Times New Roman" w:eastAsia="Times New Roman" w:cs="Times New Roman"/>
          <w:sz w:val="24"/>
          <w:szCs w:val="20"/>
          <w:lang w:eastAsia="es-ES"/>
        </w:rPr>
        <w:t xml:space="preserve"> (1993): </w:t>
      </w:r>
      <w:r>
        <w:rPr>
          <w:rFonts w:ascii="Times New Roman" w:hAnsi="Times New Roman" w:eastAsia="Times New Roman" w:cs="Times New Roman"/>
          <w:i/>
          <w:sz w:val="24"/>
          <w:szCs w:val="20"/>
          <w:lang w:eastAsia="es-ES"/>
        </w:rPr>
        <w:t>Manual de Control de Calidad (Volumen I)</w:t>
      </w:r>
      <w:r>
        <w:rPr>
          <w:rFonts w:ascii="Times New Roman" w:hAnsi="Times New Roman" w:eastAsia="Times New Roman" w:cs="Times New Roman"/>
          <w:sz w:val="24"/>
          <w:szCs w:val="20"/>
          <w:lang w:eastAsia="es-ES"/>
        </w:rPr>
        <w:t>, Madrid, McGraw-Hill.</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KAUFMANN, A.</w:t>
      </w:r>
      <w:r>
        <w:rPr>
          <w:rFonts w:ascii="Times New Roman" w:hAnsi="Times New Roman" w:eastAsia="Times New Roman" w:cs="Times New Roman"/>
          <w:sz w:val="24"/>
          <w:szCs w:val="20"/>
          <w:lang w:val="en-US" w:eastAsia="es-ES"/>
        </w:rPr>
        <w:t xml:space="preserve"> (1984): “Fuzzy set Zero-Based Budgenting”, </w:t>
      </w:r>
      <w:r>
        <w:rPr>
          <w:rFonts w:ascii="Times New Roman" w:hAnsi="Times New Roman" w:eastAsia="Times New Roman" w:cs="Times New Roman"/>
          <w:i/>
          <w:sz w:val="24"/>
          <w:szCs w:val="20"/>
          <w:lang w:val="en-US" w:eastAsia="es-ES"/>
        </w:rPr>
        <w:t>TIMS/Studies in Management Sciences</w:t>
      </w:r>
      <w:r>
        <w:rPr>
          <w:rFonts w:ascii="Times New Roman" w:hAnsi="Times New Roman" w:eastAsia="Times New Roman" w:cs="Times New Roman"/>
          <w:sz w:val="24"/>
          <w:szCs w:val="20"/>
          <w:lang w:val="en-US" w:eastAsia="es-ES"/>
        </w:rPr>
        <w:t>, nº 20: 489 – 494.</w:t>
      </w:r>
    </w:p>
    <w:p>
      <w:pPr>
        <w:spacing w:after="0" w:line="240" w:lineRule="auto"/>
        <w:jc w:val="both"/>
        <w:rPr>
          <w:rFonts w:ascii="Times New Roman" w:hAnsi="Times New Roman" w:eastAsia="Times New Roman" w:cs="Times New Roman"/>
          <w:spacing w:val="-3"/>
          <w:sz w:val="24"/>
          <w:szCs w:val="20"/>
          <w:lang w:eastAsia="es-ES"/>
        </w:rPr>
      </w:pPr>
      <w:r>
        <w:rPr>
          <w:rFonts w:ascii="Times New Roman" w:hAnsi="Times New Roman" w:eastAsia="Times New Roman" w:cs="Times New Roman"/>
          <w:b/>
          <w:spacing w:val="-3"/>
          <w:sz w:val="24"/>
          <w:szCs w:val="20"/>
          <w:lang w:eastAsia="es-ES"/>
        </w:rPr>
        <w:t>KAUFMANN A.</w:t>
      </w:r>
      <w:r>
        <w:rPr>
          <w:rFonts w:ascii="Times New Roman" w:hAnsi="Times New Roman" w:eastAsia="Times New Roman" w:cs="Times New Roman"/>
          <w:spacing w:val="-3"/>
          <w:sz w:val="24"/>
          <w:szCs w:val="20"/>
          <w:lang w:eastAsia="es-ES"/>
        </w:rPr>
        <w:t xml:space="preserve"> (1987): </w:t>
      </w:r>
      <w:r>
        <w:rPr>
          <w:rFonts w:ascii="Times New Roman" w:hAnsi="Times New Roman" w:eastAsia="Times New Roman" w:cs="Times New Roman"/>
          <w:i/>
          <w:spacing w:val="-3"/>
          <w:sz w:val="24"/>
          <w:szCs w:val="20"/>
          <w:lang w:eastAsia="es-ES"/>
        </w:rPr>
        <w:t>Les Expertons,</w:t>
      </w:r>
      <w:r>
        <w:rPr>
          <w:rFonts w:ascii="Times New Roman" w:hAnsi="Times New Roman" w:eastAsia="Times New Roman" w:cs="Times New Roman"/>
          <w:spacing w:val="-3"/>
          <w:sz w:val="24"/>
          <w:szCs w:val="20"/>
          <w:lang w:eastAsia="es-ES"/>
        </w:rPr>
        <w:t xml:space="preserve"> París, Ed. Hermès.</w:t>
      </w:r>
    </w:p>
    <w:p>
      <w:pPr>
        <w:spacing w:after="0" w:line="240" w:lineRule="auto"/>
        <w:jc w:val="both"/>
        <w:rPr>
          <w:rFonts w:ascii="Times New Roman" w:hAnsi="Times New Roman" w:eastAsia="Times New Roman" w:cs="Times New Roman"/>
          <w:spacing w:val="-3"/>
          <w:sz w:val="24"/>
          <w:szCs w:val="20"/>
          <w:lang w:eastAsia="es-ES"/>
        </w:rPr>
      </w:pPr>
      <w:r>
        <w:rPr>
          <w:rFonts w:ascii="Times New Roman" w:hAnsi="Times New Roman" w:eastAsia="Times New Roman" w:cs="Times New Roman"/>
          <w:b/>
          <w:spacing w:val="-3"/>
          <w:sz w:val="24"/>
          <w:szCs w:val="20"/>
          <w:lang w:eastAsia="es-ES"/>
        </w:rPr>
        <w:t>KAUFFMANN, A.; GIL, J.</w:t>
      </w:r>
      <w:r>
        <w:rPr>
          <w:rFonts w:ascii="Times New Roman" w:hAnsi="Times New Roman" w:eastAsia="Times New Roman" w:cs="Times New Roman"/>
          <w:spacing w:val="-3"/>
          <w:sz w:val="24"/>
          <w:szCs w:val="20"/>
          <w:lang w:eastAsia="es-ES"/>
        </w:rPr>
        <w:t xml:space="preserve"> (1986): </w:t>
      </w:r>
      <w:r>
        <w:rPr>
          <w:rFonts w:ascii="Times New Roman" w:hAnsi="Times New Roman" w:eastAsia="Times New Roman" w:cs="Times New Roman"/>
          <w:i/>
          <w:spacing w:val="-3"/>
          <w:sz w:val="24"/>
          <w:szCs w:val="20"/>
          <w:lang w:eastAsia="es-ES"/>
        </w:rPr>
        <w:t>Introducción en la teoría de los subconjuntos borrosos a la gestión de empresas</w:t>
      </w:r>
      <w:r>
        <w:rPr>
          <w:rFonts w:ascii="Times New Roman" w:hAnsi="Times New Roman" w:eastAsia="Times New Roman" w:cs="Times New Roman"/>
          <w:spacing w:val="-3"/>
          <w:sz w:val="24"/>
          <w:szCs w:val="20"/>
          <w:lang w:eastAsia="es-ES"/>
        </w:rPr>
        <w:t xml:space="preserve">, Barcelona, Ed. Milladoiro. </w:t>
      </w:r>
    </w:p>
    <w:p>
      <w:pPr>
        <w:spacing w:after="0" w:line="240" w:lineRule="auto"/>
        <w:jc w:val="both"/>
        <w:rPr>
          <w:rFonts w:ascii="Times New Roman" w:hAnsi="Times New Roman" w:eastAsia="Times New Roman" w:cs="Times New Roman"/>
          <w:spacing w:val="-3"/>
          <w:sz w:val="24"/>
          <w:szCs w:val="20"/>
          <w:lang w:eastAsia="es-ES"/>
        </w:rPr>
      </w:pPr>
      <w:r>
        <w:rPr>
          <w:rFonts w:ascii="Times New Roman" w:hAnsi="Times New Roman" w:eastAsia="Times New Roman" w:cs="Times New Roman"/>
          <w:b/>
          <w:spacing w:val="-3"/>
          <w:sz w:val="24"/>
          <w:szCs w:val="20"/>
          <w:lang w:eastAsia="es-ES"/>
        </w:rPr>
        <w:t>KAUFFMANN, A.; GIL, J.</w:t>
      </w:r>
      <w:r>
        <w:rPr>
          <w:rFonts w:ascii="Times New Roman" w:hAnsi="Times New Roman" w:eastAsia="Times New Roman" w:cs="Times New Roman"/>
          <w:spacing w:val="-3"/>
          <w:sz w:val="24"/>
          <w:szCs w:val="20"/>
          <w:lang w:eastAsia="es-ES"/>
        </w:rPr>
        <w:t xml:space="preserve"> (1987): </w:t>
      </w:r>
      <w:r>
        <w:rPr>
          <w:rFonts w:ascii="Times New Roman" w:hAnsi="Times New Roman" w:eastAsia="Times New Roman" w:cs="Times New Roman"/>
          <w:i/>
          <w:spacing w:val="-3"/>
          <w:sz w:val="24"/>
          <w:szCs w:val="20"/>
          <w:lang w:eastAsia="es-ES"/>
        </w:rPr>
        <w:t>Técnicas operativas para el tratamiento de la incertidumbre,</w:t>
      </w:r>
      <w:r>
        <w:rPr>
          <w:rFonts w:ascii="Times New Roman" w:hAnsi="Times New Roman" w:eastAsia="Times New Roman" w:cs="Times New Roman"/>
          <w:spacing w:val="-3"/>
          <w:sz w:val="24"/>
          <w:szCs w:val="20"/>
          <w:lang w:eastAsia="es-ES"/>
        </w:rPr>
        <w:t xml:space="preserve"> Editorial Hispano Europea. </w:t>
      </w:r>
    </w:p>
    <w:p>
      <w:pPr>
        <w:spacing w:after="0" w:line="240" w:lineRule="auto"/>
        <w:jc w:val="both"/>
        <w:rPr>
          <w:rFonts w:ascii="Times New Roman" w:hAnsi="Times New Roman" w:eastAsia="Times New Roman" w:cs="Times New Roman"/>
          <w:b/>
          <w:sz w:val="24"/>
          <w:szCs w:val="20"/>
          <w:lang w:eastAsia="es-ES"/>
        </w:rPr>
      </w:pPr>
      <w:r>
        <w:rPr>
          <w:rFonts w:ascii="Times New Roman" w:hAnsi="Times New Roman" w:eastAsia="Times New Roman" w:cs="Times New Roman"/>
          <w:b/>
          <w:spacing w:val="-3"/>
          <w:sz w:val="24"/>
          <w:szCs w:val="20"/>
          <w:lang w:eastAsia="es-ES"/>
        </w:rPr>
        <w:t>KAUFMANN, A.; GIL, J.</w:t>
      </w:r>
      <w:r>
        <w:rPr>
          <w:rFonts w:ascii="Times New Roman" w:hAnsi="Times New Roman" w:eastAsia="Times New Roman" w:cs="Times New Roman"/>
          <w:spacing w:val="-3"/>
          <w:sz w:val="24"/>
          <w:szCs w:val="20"/>
          <w:lang w:eastAsia="es-ES"/>
        </w:rPr>
        <w:t xml:space="preserve"> (1990):</w:t>
      </w:r>
      <w:r>
        <w:rPr>
          <w:rFonts w:ascii="Times New Roman" w:hAnsi="Times New Roman" w:eastAsia="Times New Roman" w:cs="Times New Roman"/>
          <w:b/>
          <w:spacing w:val="-3"/>
          <w:sz w:val="24"/>
          <w:szCs w:val="20"/>
          <w:lang w:eastAsia="es-ES"/>
        </w:rPr>
        <w:t xml:space="preserve"> </w:t>
      </w:r>
      <w:r>
        <w:rPr>
          <w:rFonts w:ascii="Times New Roman" w:hAnsi="Times New Roman" w:eastAsia="Times New Roman" w:cs="Times New Roman"/>
          <w:i/>
          <w:spacing w:val="-3"/>
          <w:sz w:val="24"/>
          <w:szCs w:val="20"/>
          <w:lang w:eastAsia="es-ES"/>
        </w:rPr>
        <w:t>Matemáticas del azar y de la incertidumbre,</w:t>
      </w:r>
      <w:r>
        <w:rPr>
          <w:rFonts w:ascii="Times New Roman" w:hAnsi="Times New Roman" w:eastAsia="Times New Roman" w:cs="Times New Roman"/>
          <w:spacing w:val="-3"/>
          <w:sz w:val="24"/>
          <w:szCs w:val="20"/>
          <w:lang w:eastAsia="es-ES"/>
        </w:rPr>
        <w:t xml:space="preserve"> Ed. Centro de Estudios Ramón Areces.</w:t>
      </w:r>
    </w:p>
    <w:p>
      <w:pPr>
        <w:spacing w:after="0" w:line="240" w:lineRule="auto"/>
        <w:jc w:val="both"/>
        <w:rPr>
          <w:rFonts w:ascii="Times New Roman" w:hAnsi="Times New Roman" w:eastAsia="Times New Roman" w:cs="Times New Roman"/>
          <w:spacing w:val="-3"/>
          <w:sz w:val="24"/>
          <w:szCs w:val="20"/>
          <w:lang w:eastAsia="es-ES"/>
        </w:rPr>
      </w:pPr>
      <w:r>
        <w:rPr>
          <w:rFonts w:ascii="Times New Roman" w:hAnsi="Times New Roman" w:eastAsia="Times New Roman" w:cs="Times New Roman"/>
          <w:b/>
          <w:spacing w:val="-3"/>
          <w:sz w:val="24"/>
          <w:szCs w:val="20"/>
          <w:lang w:eastAsia="es-ES"/>
        </w:rPr>
        <w:t>KAUFMANN, A.; GIL, J.</w:t>
      </w:r>
      <w:r>
        <w:rPr>
          <w:rFonts w:ascii="Times New Roman" w:hAnsi="Times New Roman" w:eastAsia="Times New Roman" w:cs="Times New Roman"/>
          <w:spacing w:val="-3"/>
          <w:sz w:val="24"/>
          <w:szCs w:val="20"/>
          <w:lang w:eastAsia="es-ES"/>
        </w:rPr>
        <w:t xml:space="preserve"> (1993): </w:t>
      </w:r>
      <w:r>
        <w:rPr>
          <w:rFonts w:ascii="Times New Roman" w:hAnsi="Times New Roman" w:eastAsia="Times New Roman" w:cs="Times New Roman"/>
          <w:i/>
          <w:spacing w:val="-3"/>
          <w:sz w:val="24"/>
          <w:szCs w:val="20"/>
          <w:lang w:eastAsia="es-ES"/>
        </w:rPr>
        <w:t>Técnicas especiales para la gestión de Expertos,</w:t>
      </w:r>
      <w:r>
        <w:rPr>
          <w:rFonts w:ascii="Times New Roman" w:hAnsi="Times New Roman" w:eastAsia="Times New Roman" w:cs="Times New Roman"/>
          <w:spacing w:val="-3"/>
          <w:sz w:val="24"/>
          <w:szCs w:val="20"/>
          <w:lang w:eastAsia="es-ES"/>
        </w:rPr>
        <w:t xml:space="preserve"> Barcelona, Editorial Milladoiro.</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KELLY, L.</w:t>
      </w:r>
      <w:r>
        <w:rPr>
          <w:rFonts w:ascii="Times New Roman" w:hAnsi="Times New Roman" w:eastAsia="Times New Roman" w:cs="Times New Roman"/>
          <w:sz w:val="24"/>
          <w:szCs w:val="20"/>
          <w:lang w:val="en-US" w:eastAsia="es-ES"/>
        </w:rPr>
        <w:t xml:space="preserve"> (1984): “Formulation of accountant´s materiality decision though fuzzy sets theory”, </w:t>
      </w:r>
      <w:r>
        <w:rPr>
          <w:rFonts w:ascii="Times New Roman" w:hAnsi="Times New Roman" w:eastAsia="Times New Roman" w:cs="Times New Roman"/>
          <w:i/>
          <w:sz w:val="24"/>
          <w:szCs w:val="20"/>
          <w:lang w:val="en-US" w:eastAsia="es-ES"/>
        </w:rPr>
        <w:t>TIMS/Studies in Management Sciencies,</w:t>
      </w:r>
      <w:r>
        <w:rPr>
          <w:rFonts w:ascii="Times New Roman" w:hAnsi="Times New Roman" w:eastAsia="Times New Roman" w:cs="Times New Roman"/>
          <w:sz w:val="24"/>
          <w:szCs w:val="20"/>
          <w:lang w:val="en-US" w:eastAsia="es-ES"/>
        </w:rPr>
        <w:t xml:space="preserve"> 22: 489 – 494.</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KORVIN, A.; STRAWER, J.; SIEGEL, P.</w:t>
      </w:r>
      <w:r>
        <w:rPr>
          <w:rFonts w:ascii="Times New Roman" w:hAnsi="Times New Roman" w:eastAsia="Times New Roman" w:cs="Times New Roman"/>
          <w:sz w:val="24"/>
          <w:szCs w:val="20"/>
          <w:lang w:val="en-US" w:eastAsia="es-ES"/>
        </w:rPr>
        <w:t xml:space="preserve"> (1995): “An application of control system to cost variance anlysis”, </w:t>
      </w:r>
      <w:r>
        <w:rPr>
          <w:rFonts w:ascii="Times New Roman" w:hAnsi="Times New Roman" w:eastAsia="Times New Roman" w:cs="Times New Roman"/>
          <w:i/>
          <w:sz w:val="24"/>
          <w:szCs w:val="20"/>
          <w:lang w:val="en-US" w:eastAsia="es-ES"/>
        </w:rPr>
        <w:t>Managerial Finance</w:t>
      </w:r>
      <w:r>
        <w:rPr>
          <w:rFonts w:ascii="Times New Roman" w:hAnsi="Times New Roman" w:eastAsia="Times New Roman" w:cs="Times New Roman"/>
          <w:sz w:val="24"/>
          <w:szCs w:val="20"/>
          <w:lang w:val="en-US" w:eastAsia="es-ES"/>
        </w:rPr>
        <w:t>, nº 21: 17 – 38.</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LARRAN, J.; RUIZ, E.</w:t>
      </w:r>
      <w:r>
        <w:rPr>
          <w:rFonts w:ascii="Times New Roman" w:hAnsi="Times New Roman" w:eastAsia="Times New Roman" w:cs="Times New Roman"/>
          <w:sz w:val="24"/>
          <w:szCs w:val="20"/>
          <w:lang w:eastAsia="es-ES"/>
        </w:rPr>
        <w:t xml:space="preserve"> (1994): “Nuevos escenarios económicos y contabilidad”, </w:t>
      </w:r>
      <w:r>
        <w:rPr>
          <w:rFonts w:ascii="Times New Roman" w:hAnsi="Times New Roman" w:eastAsia="Times New Roman" w:cs="Times New Roman"/>
          <w:i/>
          <w:sz w:val="24"/>
          <w:szCs w:val="20"/>
          <w:lang w:eastAsia="es-ES"/>
        </w:rPr>
        <w:t>ESIC MARKET</w:t>
      </w:r>
      <w:r>
        <w:rPr>
          <w:rFonts w:ascii="Times New Roman" w:hAnsi="Times New Roman" w:eastAsia="Times New Roman" w:cs="Times New Roman"/>
          <w:sz w:val="24"/>
          <w:szCs w:val="20"/>
          <w:lang w:eastAsia="es-ES"/>
        </w:rPr>
        <w:t>, enero-marzo: 63 – 79.</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MANSUR, Y.</w:t>
      </w:r>
      <w:r>
        <w:rPr>
          <w:rFonts w:ascii="Times New Roman" w:hAnsi="Times New Roman" w:eastAsia="Times New Roman" w:cs="Times New Roman"/>
          <w:sz w:val="24"/>
          <w:szCs w:val="20"/>
          <w:lang w:val="en-US" w:eastAsia="es-ES"/>
        </w:rPr>
        <w:t xml:space="preserve"> (1995): </w:t>
      </w:r>
      <w:r>
        <w:rPr>
          <w:rFonts w:ascii="Times New Roman" w:hAnsi="Times New Roman" w:eastAsia="Times New Roman" w:cs="Times New Roman"/>
          <w:i/>
          <w:sz w:val="24"/>
          <w:szCs w:val="20"/>
          <w:lang w:val="en-US" w:eastAsia="es-ES"/>
        </w:rPr>
        <w:t>Fuzzy sets and economics: Applications of fuzzy mathematics to non-cooperative oligopoly</w:t>
      </w:r>
      <w:r>
        <w:rPr>
          <w:rFonts w:ascii="Times New Roman" w:hAnsi="Times New Roman" w:eastAsia="Times New Roman" w:cs="Times New Roman"/>
          <w:sz w:val="24"/>
          <w:szCs w:val="20"/>
          <w:lang w:val="en-US" w:eastAsia="es-ES"/>
        </w:rPr>
        <w:t>, London, Ed. Edward Elgar Publishing.</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val="en-US" w:eastAsia="es-ES"/>
        </w:rPr>
        <w:t xml:space="preserve">MORSE, W. ; POSTON, K. </w:t>
      </w:r>
      <w:r>
        <w:rPr>
          <w:rFonts w:ascii="Times New Roman" w:hAnsi="Times New Roman" w:eastAsia="Times New Roman" w:cs="Times New Roman"/>
          <w:sz w:val="24"/>
          <w:szCs w:val="20"/>
          <w:lang w:val="en-US" w:eastAsia="es-ES"/>
        </w:rPr>
        <w:t xml:space="preserve">(1989): “Accounting for Quality Costs - A Critical Component of CIM” en CAMPANELLA, J. (ASQC Quality Costs Committee) </w:t>
      </w:r>
      <w:r>
        <w:rPr>
          <w:rFonts w:ascii="Times New Roman" w:hAnsi="Times New Roman" w:eastAsia="Times New Roman" w:cs="Times New Roman"/>
          <w:i/>
          <w:sz w:val="24"/>
          <w:szCs w:val="20"/>
          <w:lang w:val="en-US" w:eastAsia="es-ES"/>
        </w:rPr>
        <w:t>Quality Costs: ideas &amp; applications, vol 2.</w:t>
      </w:r>
      <w:r>
        <w:rPr>
          <w:rFonts w:ascii="Times New Roman" w:hAnsi="Times New Roman" w:eastAsia="Times New Roman" w:cs="Times New Roman"/>
          <w:sz w:val="24"/>
          <w:szCs w:val="20"/>
          <w:lang w:val="en-US" w:eastAsia="es-ES"/>
        </w:rPr>
        <w:t xml:space="preserve"> </w:t>
      </w:r>
      <w:r>
        <w:rPr>
          <w:rFonts w:ascii="Times New Roman" w:hAnsi="Times New Roman" w:eastAsia="Times New Roman" w:cs="Times New Roman"/>
          <w:sz w:val="24"/>
          <w:szCs w:val="20"/>
          <w:lang w:eastAsia="es-ES"/>
        </w:rPr>
        <w:t>ASQC Quality Press, Milwaukee</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MUNRO-FAURE, L. ; MUNRO-FAURE, M.</w:t>
      </w:r>
      <w:r>
        <w:rPr>
          <w:rFonts w:ascii="Times New Roman" w:hAnsi="Times New Roman" w:eastAsia="Times New Roman" w:cs="Times New Roman"/>
          <w:sz w:val="24"/>
          <w:szCs w:val="20"/>
          <w:lang w:eastAsia="es-ES"/>
        </w:rPr>
        <w:t xml:space="preserve"> (1994): </w:t>
      </w:r>
      <w:r>
        <w:rPr>
          <w:rFonts w:ascii="Times New Roman" w:hAnsi="Times New Roman" w:eastAsia="Times New Roman" w:cs="Times New Roman"/>
          <w:i/>
          <w:sz w:val="24"/>
          <w:szCs w:val="20"/>
          <w:lang w:eastAsia="es-ES"/>
        </w:rPr>
        <w:t>La calidad total en acción,</w:t>
      </w:r>
      <w:r>
        <w:rPr>
          <w:rFonts w:ascii="Times New Roman" w:hAnsi="Times New Roman" w:eastAsia="Times New Roman" w:cs="Times New Roman"/>
          <w:sz w:val="24"/>
          <w:szCs w:val="20"/>
          <w:lang w:eastAsia="es-ES"/>
        </w:rPr>
        <w:t xml:space="preserve"> Barcelona, Ediciones Folio. </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PLUNKETT, J.; DALE, B.</w:t>
      </w:r>
      <w:r>
        <w:rPr>
          <w:rFonts w:ascii="Times New Roman" w:hAnsi="Times New Roman" w:eastAsia="Times New Roman" w:cs="Times New Roman"/>
          <w:sz w:val="24"/>
          <w:szCs w:val="20"/>
          <w:lang w:val="en-US" w:eastAsia="es-ES"/>
        </w:rPr>
        <w:t xml:space="preserve"> (1988): “Quality-Related Costing: Findings from an Industry-Based Research  Study”, </w:t>
      </w:r>
      <w:r>
        <w:rPr>
          <w:rFonts w:ascii="Times New Roman" w:hAnsi="Times New Roman" w:eastAsia="Times New Roman" w:cs="Times New Roman"/>
          <w:i/>
          <w:sz w:val="24"/>
          <w:szCs w:val="20"/>
          <w:lang w:val="en-US" w:eastAsia="es-ES"/>
        </w:rPr>
        <w:t>Engineering Management International</w:t>
      </w:r>
      <w:r>
        <w:rPr>
          <w:rFonts w:ascii="Times New Roman" w:hAnsi="Times New Roman" w:eastAsia="Times New Roman" w:cs="Times New Roman"/>
          <w:sz w:val="24"/>
          <w:szCs w:val="20"/>
          <w:lang w:val="en-US" w:eastAsia="es-ES"/>
        </w:rPr>
        <w:t>, nº4: 247-257.</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 xml:space="preserve">REIG, J.; SANSALVADOR, M.; TRIGUEROS, J. </w:t>
      </w:r>
      <w:r>
        <w:rPr>
          <w:rFonts w:ascii="Times New Roman" w:hAnsi="Times New Roman" w:eastAsia="Times New Roman" w:cs="Times New Roman"/>
          <w:sz w:val="24"/>
          <w:szCs w:val="20"/>
          <w:lang w:eastAsia="es-ES"/>
        </w:rPr>
        <w:t xml:space="preserve">(2000): “Lógica  borrosa y su aplicación a la contabilidad”, </w:t>
      </w:r>
      <w:r>
        <w:rPr>
          <w:rFonts w:ascii="Times New Roman" w:hAnsi="Times New Roman" w:eastAsia="Times New Roman" w:cs="Times New Roman"/>
          <w:i/>
          <w:sz w:val="24"/>
          <w:szCs w:val="20"/>
          <w:lang w:eastAsia="es-ES"/>
        </w:rPr>
        <w:t xml:space="preserve">Revista Española de Financiación y Contabilidad, </w:t>
      </w:r>
      <w:r>
        <w:rPr>
          <w:rFonts w:ascii="Times New Roman" w:hAnsi="Times New Roman" w:eastAsia="Times New Roman" w:cs="Times New Roman"/>
          <w:sz w:val="24"/>
          <w:szCs w:val="20"/>
          <w:lang w:eastAsia="es-ES"/>
        </w:rPr>
        <w:t>103, enero-marzo: 83–107.</w:t>
      </w:r>
    </w:p>
    <w:p>
      <w:pPr>
        <w:spacing w:after="0" w:line="240" w:lineRule="auto"/>
        <w:jc w:val="both"/>
        <w:rPr>
          <w:rFonts w:ascii="Times New Roman" w:hAnsi="Times New Roman" w:eastAsia="Times New Roman" w:cs="Times New Roman"/>
          <w:sz w:val="24"/>
          <w:szCs w:val="20"/>
          <w:lang w:val="en-GB" w:eastAsia="es-ES"/>
        </w:rPr>
      </w:pPr>
      <w:r>
        <w:rPr>
          <w:rFonts w:ascii="Times New Roman" w:hAnsi="Times New Roman" w:eastAsia="Times New Roman" w:cs="Times New Roman"/>
          <w:b/>
          <w:sz w:val="24"/>
          <w:szCs w:val="20"/>
          <w:lang w:eastAsia="es-ES"/>
        </w:rPr>
        <w:t>RUIMONTE, F.</w:t>
      </w:r>
      <w:r>
        <w:rPr>
          <w:rFonts w:ascii="Times New Roman" w:hAnsi="Times New Roman" w:eastAsia="Times New Roman" w:cs="Times New Roman"/>
          <w:sz w:val="24"/>
          <w:szCs w:val="20"/>
          <w:lang w:eastAsia="es-ES"/>
        </w:rPr>
        <w:t xml:space="preserve"> (1.990): “Calidad, productividad y posición competitiva”, </w:t>
      </w:r>
      <w:r>
        <w:rPr>
          <w:rFonts w:ascii="Times New Roman" w:hAnsi="Times New Roman" w:eastAsia="Times New Roman" w:cs="Times New Roman"/>
          <w:i/>
          <w:sz w:val="24"/>
          <w:szCs w:val="20"/>
          <w:lang w:eastAsia="es-ES"/>
        </w:rPr>
        <w:t>Dirección y Progreso</w:t>
      </w:r>
      <w:r>
        <w:rPr>
          <w:rFonts w:ascii="Times New Roman" w:hAnsi="Times New Roman" w:eastAsia="Times New Roman" w:cs="Times New Roman"/>
          <w:sz w:val="24"/>
          <w:szCs w:val="20"/>
          <w:lang w:eastAsia="es-ES"/>
        </w:rPr>
        <w:t xml:space="preserve">, nº112, julio y agosto;. </w:t>
      </w:r>
      <w:r>
        <w:rPr>
          <w:rFonts w:ascii="Times New Roman" w:hAnsi="Times New Roman" w:eastAsia="Times New Roman" w:cs="Times New Roman"/>
          <w:sz w:val="24"/>
          <w:szCs w:val="20"/>
          <w:lang w:val="en-GB" w:eastAsia="es-ES"/>
        </w:rPr>
        <w:t>28 – 30.</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RUSSELL, B.</w:t>
      </w:r>
      <w:r>
        <w:rPr>
          <w:rFonts w:ascii="Times New Roman" w:hAnsi="Times New Roman" w:eastAsia="Times New Roman" w:cs="Times New Roman"/>
          <w:sz w:val="24"/>
          <w:szCs w:val="20"/>
          <w:lang w:val="en-US" w:eastAsia="es-ES"/>
        </w:rPr>
        <w:t xml:space="preserve"> (1985): </w:t>
      </w:r>
      <w:r>
        <w:rPr>
          <w:rFonts w:ascii="Times New Roman" w:hAnsi="Times New Roman" w:eastAsia="Times New Roman" w:cs="Times New Roman"/>
          <w:i/>
          <w:sz w:val="24"/>
          <w:szCs w:val="20"/>
          <w:lang w:val="en-US" w:eastAsia="es-ES"/>
        </w:rPr>
        <w:t>The philosophy of Logical Atomics,</w:t>
      </w:r>
      <w:r>
        <w:rPr>
          <w:rFonts w:ascii="Times New Roman" w:hAnsi="Times New Roman" w:eastAsia="Times New Roman" w:cs="Times New Roman"/>
          <w:sz w:val="24"/>
          <w:szCs w:val="20"/>
          <w:lang w:val="en-US" w:eastAsia="es-ES"/>
        </w:rPr>
        <w:t xml:space="preserve"> Editorial LaSalle, IL: Open Court.</w:t>
      </w:r>
    </w:p>
    <w:p>
      <w:pPr>
        <w:spacing w:after="0" w:line="240" w:lineRule="auto"/>
        <w:jc w:val="both"/>
        <w:rPr>
          <w:rFonts w:ascii="Times New Roman" w:hAnsi="Times New Roman" w:eastAsia="Times New Roman" w:cs="Times New Roman"/>
          <w:sz w:val="24"/>
          <w:szCs w:val="20"/>
          <w:lang w:eastAsia="es-ES"/>
        </w:rPr>
      </w:pPr>
      <w:r>
        <w:rPr>
          <w:rFonts w:ascii="Times New Roman" w:hAnsi="Times New Roman" w:eastAsia="Times New Roman" w:cs="Times New Roman"/>
          <w:b/>
          <w:sz w:val="24"/>
          <w:szCs w:val="20"/>
          <w:lang w:eastAsia="es-ES"/>
        </w:rPr>
        <w:t>SÁNCHEZ - FERNÁNDEZ, J.L.</w:t>
      </w:r>
      <w:r>
        <w:rPr>
          <w:rFonts w:ascii="Times New Roman" w:hAnsi="Times New Roman" w:eastAsia="Times New Roman" w:cs="Times New Roman"/>
          <w:sz w:val="24"/>
          <w:szCs w:val="20"/>
          <w:lang w:eastAsia="es-ES"/>
        </w:rPr>
        <w:t xml:space="preserve"> (1996): </w:t>
      </w:r>
      <w:r>
        <w:rPr>
          <w:rFonts w:ascii="Times New Roman" w:hAnsi="Times New Roman" w:eastAsia="Times New Roman" w:cs="Times New Roman"/>
          <w:i/>
          <w:sz w:val="24"/>
          <w:szCs w:val="20"/>
          <w:lang w:eastAsia="es-ES"/>
        </w:rPr>
        <w:t>Teoría y práctica de la auditoría. Concepto y metodología</w:t>
      </w:r>
      <w:r>
        <w:rPr>
          <w:rFonts w:ascii="Times New Roman" w:hAnsi="Times New Roman" w:eastAsia="Times New Roman" w:cs="Times New Roman"/>
          <w:sz w:val="24"/>
          <w:szCs w:val="20"/>
          <w:lang w:eastAsia="es-ES"/>
        </w:rPr>
        <w:t xml:space="preserve">, Madrid, Ed. Ciencias de la Dirección. </w:t>
      </w:r>
      <w:r>
        <w:rPr>
          <w:rFonts w:ascii="Times New Roman" w:hAnsi="Times New Roman" w:eastAsia="Times New Roman" w:cs="Times New Roman"/>
          <w:sz w:val="24"/>
          <w:szCs w:val="20"/>
          <w:lang w:eastAsia="es-ES"/>
        </w:rPr>
        <w:t>VI.</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SIEGEL, P.; KORVIN, A.; AGRAWAL, S.</w:t>
      </w:r>
      <w:r>
        <w:rPr>
          <w:rFonts w:ascii="Times New Roman" w:hAnsi="Times New Roman" w:eastAsia="Times New Roman" w:cs="Times New Roman"/>
          <w:sz w:val="24"/>
          <w:szCs w:val="20"/>
          <w:lang w:val="en-US" w:eastAsia="es-ES"/>
        </w:rPr>
        <w:t xml:space="preserve"> (1993): “The detection of irregularities by auditors: A roungh sets approach”, </w:t>
      </w:r>
      <w:r>
        <w:rPr>
          <w:rFonts w:ascii="Times New Roman" w:hAnsi="Times New Roman" w:eastAsia="Times New Roman" w:cs="Times New Roman"/>
          <w:i/>
          <w:sz w:val="24"/>
          <w:szCs w:val="20"/>
          <w:lang w:val="en-US" w:eastAsia="es-ES"/>
        </w:rPr>
        <w:t xml:space="preserve">Indian Journal of Accounting, </w:t>
      </w:r>
      <w:r>
        <w:rPr>
          <w:rFonts w:ascii="Times New Roman" w:hAnsi="Times New Roman" w:eastAsia="Times New Roman" w:cs="Times New Roman"/>
          <w:sz w:val="24"/>
          <w:szCs w:val="20"/>
          <w:lang w:val="en-US" w:eastAsia="es-ES"/>
        </w:rPr>
        <w:t>29: 44 – 54.</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TANAKA, H.; OKUDA, T.; ASAI, K.</w:t>
      </w:r>
      <w:r>
        <w:rPr>
          <w:rFonts w:ascii="Times New Roman" w:hAnsi="Times New Roman" w:eastAsia="Times New Roman" w:cs="Times New Roman"/>
          <w:sz w:val="24"/>
          <w:szCs w:val="20"/>
          <w:lang w:val="en-US" w:eastAsia="es-ES"/>
        </w:rPr>
        <w:t xml:space="preserve"> (1976): “A foundation of fuzzy decision problems and its aplication to an investment problems”, </w:t>
      </w:r>
      <w:r>
        <w:rPr>
          <w:rFonts w:ascii="Times New Roman" w:hAnsi="Times New Roman" w:eastAsia="Times New Roman" w:cs="Times New Roman"/>
          <w:i/>
          <w:sz w:val="24"/>
          <w:szCs w:val="20"/>
          <w:lang w:val="en-US" w:eastAsia="es-ES"/>
        </w:rPr>
        <w:t>Kybernetes</w:t>
      </w:r>
      <w:r>
        <w:rPr>
          <w:rFonts w:ascii="Times New Roman" w:hAnsi="Times New Roman" w:eastAsia="Times New Roman" w:cs="Times New Roman"/>
          <w:sz w:val="24"/>
          <w:szCs w:val="20"/>
          <w:lang w:val="en-US" w:eastAsia="es-ES"/>
        </w:rPr>
        <w:t>, nº 5: 25 – 30.</w:t>
      </w:r>
    </w:p>
    <w:p>
      <w:pPr>
        <w:spacing w:after="0" w:line="240" w:lineRule="auto"/>
        <w:jc w:val="both"/>
        <w:rPr>
          <w:rFonts w:ascii="Times New Roman" w:hAnsi="Times New Roman" w:eastAsia="Times New Roman" w:cs="Times New Roman"/>
          <w:b/>
          <w:sz w:val="24"/>
          <w:szCs w:val="20"/>
          <w:lang w:val="en-US" w:eastAsia="es-ES"/>
        </w:rPr>
      </w:pPr>
      <w:r>
        <w:rPr>
          <w:rFonts w:ascii="Times New Roman" w:hAnsi="Times New Roman" w:eastAsia="Times New Roman" w:cs="Times New Roman"/>
          <w:b/>
          <w:sz w:val="24"/>
          <w:szCs w:val="20"/>
          <w:lang w:val="en-US" w:eastAsia="es-ES"/>
        </w:rPr>
        <w:t xml:space="preserve">TRIGUEROS, J.A. ; PIÑERO, D. </w:t>
      </w:r>
      <w:r>
        <w:rPr>
          <w:rFonts w:ascii="Times New Roman" w:hAnsi="Times New Roman" w:cs="Times New Roman"/>
          <w:sz w:val="24"/>
          <w:szCs w:val="24"/>
          <w:lang w:val="en-US"/>
        </w:rPr>
        <w:t xml:space="preserve">“Profitability analysis of a femtosecond laser system for cataract surgery using a fuzzy logic approach”. </w:t>
      </w:r>
      <w:r>
        <w:rPr>
          <w:rFonts w:ascii="Times New Roman" w:hAnsi="Times New Roman" w:cs="Times New Roman"/>
          <w:i/>
          <w:sz w:val="24"/>
          <w:szCs w:val="24"/>
          <w:lang w:val="en-US"/>
        </w:rPr>
        <w:t>International Journal of Ophthalmology</w:t>
      </w:r>
      <w:r>
        <w:rPr>
          <w:rFonts w:ascii="Times New Roman" w:hAnsi="Times New Roman" w:cs="Times New Roman"/>
          <w:sz w:val="24"/>
          <w:szCs w:val="24"/>
          <w:lang w:val="en-US"/>
        </w:rPr>
        <w:t>, July 2016, 9(7): pags 1046-1050. JCR Journal.</w:t>
      </w:r>
    </w:p>
    <w:p>
      <w:pPr>
        <w:spacing w:after="0" w:line="240" w:lineRule="auto"/>
        <w:jc w:val="both"/>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WHALEN, T.; SCHOTT, B.; HALL, N.; GANOE, F.</w:t>
      </w:r>
      <w:r>
        <w:rPr>
          <w:rFonts w:ascii="Times New Roman" w:hAnsi="Times New Roman" w:eastAsia="Times New Roman" w:cs="Times New Roman"/>
          <w:sz w:val="24"/>
          <w:szCs w:val="20"/>
          <w:lang w:val="en-US" w:eastAsia="es-ES"/>
        </w:rPr>
        <w:t xml:space="preserve"> (1987): “Fuzzy knowledge in rule-base systems”,  en SILVERMAN, B. </w:t>
      </w:r>
      <w:r>
        <w:rPr>
          <w:rFonts w:ascii="Times New Roman" w:hAnsi="Times New Roman" w:eastAsia="Times New Roman" w:cs="Times New Roman"/>
          <w:i/>
          <w:sz w:val="24"/>
          <w:szCs w:val="20"/>
          <w:lang w:val="en-US" w:eastAsia="es-ES"/>
        </w:rPr>
        <w:t>Experts Systems in busines</w:t>
      </w:r>
      <w:r>
        <w:rPr>
          <w:rFonts w:ascii="Times New Roman" w:hAnsi="Times New Roman" w:eastAsia="Times New Roman" w:cs="Times New Roman"/>
          <w:sz w:val="24"/>
          <w:szCs w:val="20"/>
          <w:lang w:val="en-US" w:eastAsia="es-ES"/>
        </w:rPr>
        <w:t>. Ed. Reading, M.A.</w:t>
      </w:r>
    </w:p>
    <w:p>
      <w:pPr>
        <w:shd w:val="clear" w:color="auto" w:fill="FFFFFF"/>
        <w:spacing w:after="0" w:line="240" w:lineRule="auto"/>
        <w:rPr>
          <w:rFonts w:ascii="Times New Roman" w:hAnsi="Times New Roman" w:eastAsia="Times New Roman" w:cs="Times New Roman"/>
          <w:sz w:val="24"/>
          <w:szCs w:val="24"/>
          <w:lang w:val="en-US" w:eastAsia="es-ES"/>
        </w:rPr>
      </w:pPr>
      <w:r>
        <w:rPr>
          <w:rFonts w:ascii="Times New Roman" w:hAnsi="Times New Roman" w:eastAsia="Times New Roman" w:cs="Times New Roman"/>
          <w:b/>
          <w:sz w:val="24"/>
          <w:szCs w:val="24"/>
          <w:lang w:val="en-US" w:eastAsia="es-ES"/>
        </w:rPr>
        <w:t>WU, C. ; JAYARAM, N</w:t>
      </w:r>
      <w:r>
        <w:rPr>
          <w:rFonts w:ascii="Times New Roman" w:hAnsi="Times New Roman" w:eastAsia="Times New Roman" w:cs="Times New Roman"/>
          <w:sz w:val="24"/>
          <w:szCs w:val="24"/>
          <w:lang w:val="en-US" w:eastAsia="es-ES"/>
        </w:rPr>
        <w:t>. (2.011)  “</w:t>
      </w:r>
      <w:r>
        <w:rPr>
          <w:rFonts w:ascii="Times New Roman" w:hAnsi="Times New Roman" w:eastAsia="Times New Roman" w:cs="Times New Roman"/>
          <w:bCs/>
          <w:color w:val="333333"/>
          <w:kern w:val="36"/>
          <w:sz w:val="24"/>
          <w:szCs w:val="24"/>
          <w:lang w:val="en-US" w:eastAsia="es-ES"/>
        </w:rPr>
        <w:t>As crisis looms, how can SMEs be saved?</w:t>
      </w:r>
      <w:r>
        <w:rPr>
          <w:rFonts w:ascii="Times New Roman" w:hAnsi="Times New Roman" w:eastAsia="Times New Roman" w:cs="Times New Roman"/>
          <w:i/>
          <w:iCs/>
          <w:color w:val="333333"/>
          <w:sz w:val="24"/>
          <w:szCs w:val="24"/>
          <w:lang w:val="en-US" w:eastAsia="es-ES"/>
        </w:rPr>
        <w:t xml:space="preserve"> China Perspectives </w:t>
      </w:r>
      <w:r>
        <w:rPr>
          <w:rFonts w:ascii="Times New Roman" w:hAnsi="Times New Roman" w:eastAsia="Times New Roman" w:cs="Times New Roman"/>
          <w:color w:val="333333"/>
          <w:sz w:val="24"/>
          <w:szCs w:val="24"/>
          <w:lang w:val="en-US" w:eastAsia="es-ES"/>
        </w:rPr>
        <w:t>No. 4 (88) (2011), pp. 64-66</w:t>
      </w:r>
    </w:p>
    <w:p>
      <w:pPr>
        <w:spacing w:after="0" w:line="240" w:lineRule="auto"/>
        <w:jc w:val="both"/>
        <w:rPr>
          <w:rFonts w:ascii="Times New Roman" w:hAnsi="Times New Roman" w:eastAsia="Times New Roman" w:cs="Times New Roman"/>
          <w:spacing w:val="-3"/>
          <w:sz w:val="24"/>
          <w:szCs w:val="20"/>
          <w:lang w:val="en-US" w:eastAsia="es-ES"/>
        </w:rPr>
      </w:pPr>
      <w:r>
        <w:rPr>
          <w:rFonts w:ascii="Times New Roman" w:hAnsi="Times New Roman" w:eastAsia="Times New Roman" w:cs="Times New Roman"/>
          <w:b/>
          <w:sz w:val="24"/>
          <w:szCs w:val="20"/>
          <w:lang w:val="en-GB" w:eastAsia="es-ES"/>
        </w:rPr>
        <w:t xml:space="preserve">ZADEH, </w:t>
      </w:r>
      <w:r>
        <w:rPr>
          <w:rFonts w:ascii="Times New Roman" w:hAnsi="Times New Roman" w:eastAsia="Times New Roman" w:cs="Times New Roman"/>
          <w:b/>
          <w:spacing w:val="-3"/>
          <w:sz w:val="24"/>
          <w:szCs w:val="20"/>
          <w:lang w:val="en-GB" w:eastAsia="es-ES"/>
        </w:rPr>
        <w:t>L. A.</w:t>
      </w:r>
      <w:r>
        <w:rPr>
          <w:rFonts w:ascii="Times New Roman" w:hAnsi="Times New Roman" w:eastAsia="Times New Roman" w:cs="Times New Roman"/>
          <w:spacing w:val="-3"/>
          <w:sz w:val="24"/>
          <w:szCs w:val="20"/>
          <w:lang w:val="en-GB" w:eastAsia="es-ES"/>
        </w:rPr>
        <w:t xml:space="preserve">  </w:t>
      </w:r>
      <w:r>
        <w:rPr>
          <w:rFonts w:ascii="Times New Roman" w:hAnsi="Times New Roman" w:eastAsia="Times New Roman" w:cs="Times New Roman"/>
          <w:spacing w:val="-3"/>
          <w:sz w:val="24"/>
          <w:szCs w:val="20"/>
          <w:lang w:val="en-US" w:eastAsia="es-ES"/>
        </w:rPr>
        <w:t xml:space="preserve">(1965): "Fuzzy Sets". </w:t>
      </w:r>
      <w:r>
        <w:rPr>
          <w:rFonts w:ascii="Times New Roman" w:hAnsi="Times New Roman" w:eastAsia="Times New Roman" w:cs="Times New Roman"/>
          <w:i/>
          <w:spacing w:val="-3"/>
          <w:sz w:val="24"/>
          <w:szCs w:val="20"/>
          <w:lang w:val="en-US" w:eastAsia="es-ES"/>
        </w:rPr>
        <w:t>Information and Control,</w:t>
      </w:r>
      <w:r>
        <w:rPr>
          <w:rFonts w:ascii="Times New Roman" w:hAnsi="Times New Roman" w:eastAsia="Times New Roman" w:cs="Times New Roman"/>
          <w:spacing w:val="-3"/>
          <w:sz w:val="24"/>
          <w:szCs w:val="20"/>
          <w:lang w:val="en-US" w:eastAsia="es-ES"/>
        </w:rPr>
        <w:t xml:space="preserve">  8: 338 – 253.</w:t>
      </w:r>
    </w:p>
    <w:p>
      <w:pPr>
        <w:rPr>
          <w:rFonts w:ascii="Times New Roman" w:hAnsi="Times New Roman" w:eastAsia="Times New Roman" w:cs="Times New Roman"/>
          <w:sz w:val="24"/>
          <w:szCs w:val="20"/>
          <w:lang w:val="en-US" w:eastAsia="es-ES"/>
        </w:rPr>
      </w:pPr>
      <w:r>
        <w:rPr>
          <w:rFonts w:ascii="Times New Roman" w:hAnsi="Times New Roman" w:eastAsia="Times New Roman" w:cs="Times New Roman"/>
          <w:b/>
          <w:sz w:val="24"/>
          <w:szCs w:val="20"/>
          <w:lang w:val="en-US" w:eastAsia="es-ES"/>
        </w:rPr>
        <w:t>ZEBDA, A.</w:t>
      </w:r>
      <w:r>
        <w:rPr>
          <w:rFonts w:ascii="Times New Roman" w:hAnsi="Times New Roman" w:eastAsia="Times New Roman" w:cs="Times New Roman"/>
          <w:sz w:val="24"/>
          <w:szCs w:val="20"/>
          <w:lang w:val="en-US" w:eastAsia="es-ES"/>
        </w:rPr>
        <w:t xml:space="preserve"> (1984): “The investigation of cost variances: a fuzzy sets theory approach”, </w:t>
      </w:r>
      <w:r>
        <w:rPr>
          <w:rFonts w:ascii="Times New Roman" w:hAnsi="Times New Roman" w:eastAsia="Times New Roman" w:cs="Times New Roman"/>
          <w:i/>
          <w:sz w:val="24"/>
          <w:szCs w:val="20"/>
          <w:lang w:val="en-US" w:eastAsia="es-ES"/>
        </w:rPr>
        <w:t>Decision Sciencies</w:t>
      </w:r>
      <w:r>
        <w:rPr>
          <w:rFonts w:ascii="Times New Roman" w:hAnsi="Times New Roman" w:eastAsia="Times New Roman" w:cs="Times New Roman"/>
          <w:sz w:val="24"/>
          <w:szCs w:val="20"/>
          <w:lang w:val="en-US" w:eastAsia="es-ES"/>
        </w:rPr>
        <w:t>, 15: 359 – 388.</w:t>
      </w:r>
    </w:p>
    <w:p>
      <w:pPr>
        <w:shd w:val="clear" w:color="auto" w:fill="FFFFFF"/>
        <w:spacing w:after="0" w:line="240" w:lineRule="auto"/>
        <w:rPr>
          <w:rFonts w:ascii="Arial" w:hAnsi="Arial" w:eastAsia="Times New Roman" w:cs="Arial"/>
          <w:color w:val="333333"/>
          <w:sz w:val="21"/>
          <w:szCs w:val="21"/>
          <w:lang w:val="en-US" w:eastAsia="es-ES"/>
        </w:rPr>
      </w:pPr>
      <w:r>
        <w:rPr>
          <w:rFonts w:ascii="Arial" w:hAnsi="Arial" w:eastAsia="Times New Roman" w:cs="Arial"/>
          <w:color w:val="333333"/>
          <w:sz w:val="24"/>
          <w:szCs w:val="24"/>
          <w:lang w:val="en-US" w:eastAsia="es-ES"/>
        </w:rPr>
        <w:br w:type="textWrapping"/>
      </w:r>
    </w:p>
    <w:p>
      <w:pPr>
        <w:rPr>
          <w:rFonts w:ascii="Times New Roman" w:hAnsi="Times New Roman" w:cs="Times New Roman"/>
          <w:b/>
          <w:sz w:val="24"/>
          <w:szCs w:val="24"/>
          <w:u w:val="single"/>
          <w:lang w:val="en-US"/>
        </w:rPr>
      </w:pPr>
    </w:p>
    <w:p>
      <w:pPr>
        <w:rPr>
          <w:lang w:val="en-US"/>
        </w:rPr>
      </w:pPr>
    </w:p>
    <w:sectPr>
      <w:headerReference r:id="rId3" w:type="default"/>
      <w:footerReference r:id="rId4" w:type="default"/>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dvPS6F0B">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thinThickSmallGap" w:color="622423" w:themeColor="accent2" w:themeShade="7F" w:sz="24" w:space="1"/>
      </w:pBdr>
      <w:rPr>
        <w:rFonts w:asciiTheme="majorHAnsi" w:hAnsiTheme="majorHAnsi" w:eastAsiaTheme="majorEastAsia" w:cstheme="majorBidi"/>
        <w:i/>
        <w:sz w:val="20"/>
        <w:szCs w:val="20"/>
      </w:rPr>
    </w:pPr>
    <w:r>
      <w:rPr>
        <w:rFonts w:asciiTheme="majorHAnsi" w:hAnsiTheme="majorHAnsi" w:eastAsiaTheme="majorEastAsia" w:cstheme="majorBidi"/>
        <w:i/>
        <w:sz w:val="20"/>
        <w:szCs w:val="20"/>
      </w:rPr>
      <w:t>JBA – Nov-2018</w:t>
    </w:r>
    <w:r>
      <w:rPr>
        <w:rFonts w:asciiTheme="majorHAnsi" w:hAnsiTheme="majorHAnsi" w:eastAsiaTheme="majorEastAsia" w:cstheme="majorBidi"/>
        <w:i/>
        <w:sz w:val="20"/>
        <w:szCs w:val="20"/>
      </w:rPr>
      <w:ptab w:relativeTo="margin" w:alignment="right" w:leader="none"/>
    </w:r>
    <w:r>
      <w:rPr>
        <w:rFonts w:asciiTheme="majorHAnsi" w:hAnsiTheme="majorHAnsi" w:eastAsiaTheme="majorEastAsia" w:cstheme="majorBidi"/>
        <w:i/>
        <w:sz w:val="20"/>
        <w:szCs w:val="20"/>
      </w:rPr>
      <w:t xml:space="preserve">Página </w:t>
    </w:r>
    <w:r>
      <w:rPr>
        <w:rFonts w:eastAsiaTheme="minorEastAsia"/>
        <w:i/>
        <w:sz w:val="20"/>
        <w:szCs w:val="20"/>
      </w:rPr>
      <w:fldChar w:fldCharType="begin"/>
    </w:r>
    <w:r>
      <w:rPr>
        <w:i/>
        <w:sz w:val="20"/>
        <w:szCs w:val="20"/>
      </w:rPr>
      <w:instrText xml:space="preserve">PAGE   \* MERGEFORMAT</w:instrText>
    </w:r>
    <w:r>
      <w:rPr>
        <w:rFonts w:eastAsiaTheme="minorEastAsia"/>
        <w:i/>
        <w:sz w:val="20"/>
        <w:szCs w:val="20"/>
      </w:rPr>
      <w:fldChar w:fldCharType="separate"/>
    </w:r>
    <w:r>
      <w:rPr>
        <w:rFonts w:asciiTheme="majorHAnsi" w:hAnsiTheme="majorHAnsi" w:eastAsiaTheme="majorEastAsia" w:cstheme="majorBidi"/>
        <w:i/>
        <w:sz w:val="20"/>
        <w:szCs w:val="20"/>
      </w:rPr>
      <w:t>1</w:t>
    </w:r>
    <w:r>
      <w:rPr>
        <w:rFonts w:asciiTheme="majorHAnsi" w:hAnsiTheme="majorHAnsi" w:eastAsiaTheme="majorEastAsia" w:cstheme="majorBidi"/>
        <w:i/>
        <w:sz w:val="20"/>
        <w:szCs w:val="2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ckThinSmallGap" w:color="622423" w:themeColor="accent2" w:themeShade="7F" w:sz="24" w:space="1"/>
      </w:pBdr>
      <w:jc w:val="right"/>
      <w:rPr>
        <w:rFonts w:asciiTheme="majorHAnsi" w:hAnsiTheme="majorHAnsi" w:eastAsiaTheme="majorEastAsia" w:cstheme="majorBidi"/>
        <w:sz w:val="32"/>
        <w:szCs w:val="32"/>
        <w:lang w:val="en-US"/>
      </w:rPr>
    </w:pPr>
    <w:r>
      <w:t xml:space="preserve"> </w:t>
    </w:r>
    <w:r>
      <w:rPr>
        <w:rFonts w:ascii="AdvPS6F0B" w:hAnsi="AdvPS6F0B" w:cs="AdvPS6F0B"/>
        <w:i/>
        <w:sz w:val="16"/>
        <w:szCs w:val="16"/>
        <w:lang w:val="en-US"/>
      </w:rPr>
      <w:t>Journal of Business Administration</w:t>
    </w:r>
  </w:p>
  <w:p>
    <w:pPr>
      <w:pStyle w:val="4"/>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FF"/>
    <w:rsid w:val="001A60BA"/>
    <w:rsid w:val="00513E3F"/>
    <w:rsid w:val="00FD10FF"/>
    <w:rsid w:val="78B33A4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rFonts w:ascii="Tahoma" w:hAnsi="Tahoma" w:cs="Tahoma"/>
      <w:sz w:val="16"/>
      <w:szCs w:val="16"/>
    </w:rPr>
  </w:style>
  <w:style w:type="paragraph" w:styleId="3">
    <w:name w:val="footer"/>
    <w:basedOn w:val="1"/>
    <w:link w:val="8"/>
    <w:unhideWhenUsed/>
    <w:uiPriority w:val="99"/>
    <w:pPr>
      <w:tabs>
        <w:tab w:val="center" w:pos="4252"/>
        <w:tab w:val="right" w:pos="8504"/>
      </w:tabs>
      <w:spacing w:after="0" w:line="240" w:lineRule="auto"/>
    </w:pPr>
  </w:style>
  <w:style w:type="paragraph" w:styleId="4">
    <w:name w:val="header"/>
    <w:basedOn w:val="1"/>
    <w:link w:val="7"/>
    <w:unhideWhenUsed/>
    <w:qFormat/>
    <w:uiPriority w:val="99"/>
    <w:pPr>
      <w:tabs>
        <w:tab w:val="center" w:pos="4252"/>
        <w:tab w:val="right" w:pos="8504"/>
      </w:tabs>
      <w:spacing w:after="0" w:line="240" w:lineRule="auto"/>
    </w:pPr>
  </w:style>
  <w:style w:type="character" w:customStyle="1" w:styleId="7">
    <w:name w:val="Encabezado Car"/>
    <w:basedOn w:val="5"/>
    <w:link w:val="4"/>
    <w:qFormat/>
    <w:uiPriority w:val="99"/>
  </w:style>
  <w:style w:type="character" w:customStyle="1" w:styleId="8">
    <w:name w:val="Pie de página Car"/>
    <w:basedOn w:val="5"/>
    <w:link w:val="3"/>
    <w:uiPriority w:val="99"/>
  </w:style>
  <w:style w:type="character" w:customStyle="1" w:styleId="9">
    <w:name w:val="Texto de globo Car"/>
    <w:basedOn w:val="5"/>
    <w:link w:val="2"/>
    <w:semiHidden/>
    <w:uiPriority w:val="99"/>
    <w:rPr>
      <w:rFonts w:ascii="Tahoma" w:hAnsi="Tahoma" w:cs="Tahoma"/>
      <w:sz w:val="16"/>
      <w:szCs w:val="16"/>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1"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es-ES" baseline="0"/>
              <a:t>INTANGIBLE VARIABLE (</a:t>
            </a:r>
            <a:r>
              <a:rPr lang="es-ES" baseline="0">
                <a:latin typeface="Arial" panose="020B0604020202020204" pitchFamily="2"/>
                <a:cs typeface="Arial" panose="020B0604020202020204" pitchFamily="2"/>
              </a:rPr>
              <a:t>Ḡ)</a:t>
            </a:r>
            <a:endParaRPr lang="es-ES"/>
          </a:p>
        </c:rich>
      </c:tx>
      <c:layout>
        <c:manualLayout>
          <c:xMode val="edge"/>
          <c:yMode val="edge"/>
          <c:x val="0.234215885947047"/>
          <c:y val="0.0213414634146341"/>
        </c:manualLayout>
      </c:layout>
      <c:overlay val="0"/>
      <c:spPr>
        <a:noFill/>
        <a:ln w="25399">
          <a:noFill/>
        </a:ln>
      </c:spPr>
    </c:title>
    <c:autoTitleDeleted val="0"/>
    <c:plotArea>
      <c:layout>
        <c:manualLayout>
          <c:layoutTarget val="inner"/>
          <c:xMode val="edge"/>
          <c:yMode val="edge"/>
          <c:x val="0.138492871690428"/>
          <c:y val="0.198170731707317"/>
          <c:w val="0.843177189409369"/>
          <c:h val="0.600609756097561"/>
        </c:manualLayout>
      </c:layout>
      <c:lineChart>
        <c:grouping val="standard"/>
        <c:varyColors val="0"/>
        <c:ser>
          <c:idx val="0"/>
          <c:order val="0"/>
          <c:spPr>
            <a:ln w="12700" cap="rnd" cmpd="sng" algn="ctr">
              <a:solidFill>
                <a:srgbClr val="000080"/>
              </a:solidFill>
              <a:prstDash val="solid"/>
              <a:round/>
            </a:ln>
          </c:spPr>
          <c:marker>
            <c:symbol val="none"/>
          </c:marker>
          <c:dLbls>
            <c:delete val="1"/>
          </c:dLbls>
          <c:cat>
            <c:numRef>
              <c:f>Hoja1!$B$5:$B$9</c:f>
              <c:numCache>
                <c:formatCode>General</c:formatCode>
                <c:ptCount val="5"/>
                <c:pt idx="0">
                  <c:v>65900</c:v>
                </c:pt>
                <c:pt idx="1">
                  <c:v>66180</c:v>
                </c:pt>
                <c:pt idx="2">
                  <c:v>66460</c:v>
                </c:pt>
                <c:pt idx="3">
                  <c:v>66740</c:v>
                </c:pt>
                <c:pt idx="4">
                  <c:v>67020</c:v>
                </c:pt>
              </c:numCache>
            </c:numRef>
          </c:cat>
          <c:val>
            <c:numRef>
              <c:f>Hoja1!$C$5:$C$9</c:f>
              <c:numCache>
                <c:formatCode>General</c:formatCode>
                <c:ptCount val="5"/>
                <c:pt idx="0">
                  <c:v>0</c:v>
                </c:pt>
                <c:pt idx="1">
                  <c:v>0.5</c:v>
                </c:pt>
                <c:pt idx="2">
                  <c:v>1</c:v>
                </c:pt>
                <c:pt idx="3">
                  <c:v>0.5</c:v>
                </c:pt>
                <c:pt idx="4">
                  <c:v>0</c:v>
                </c:pt>
              </c:numCache>
            </c:numRef>
          </c:val>
          <c:smooth val="0"/>
        </c:ser>
        <c:dLbls>
          <c:showLegendKey val="0"/>
          <c:showVal val="0"/>
          <c:showCatName val="0"/>
          <c:showSerName val="0"/>
          <c:showPercent val="0"/>
          <c:showBubbleSize val="0"/>
        </c:dLbls>
        <c:marker val="0"/>
        <c:smooth val="0"/>
        <c:axId val="183661056"/>
        <c:axId val="92265792"/>
      </c:lineChart>
      <c:catAx>
        <c:axId val="183661056"/>
        <c:scaling>
          <c:orientation val="minMax"/>
        </c:scaling>
        <c:delete val="0"/>
        <c:axPos val="b"/>
        <c:title>
          <c:tx>
            <c:rich>
              <a:bodyPr rot="0" spcFirstLastPara="0" vertOverflow="ellipsis" vert="horz" wrap="square" anchor="ctr" anchorCtr="1"/>
              <a:lstStyle/>
              <a:p>
                <a:pPr>
                  <a:defRPr lang="zh-CN" sz="1025" b="1"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es-ES"/>
                  <a:t>euros</a:t>
                </a:r>
                <a:endParaRPr lang="es-ES"/>
              </a:p>
            </c:rich>
          </c:tx>
          <c:layout>
            <c:manualLayout>
              <c:xMode val="edge"/>
              <c:yMode val="edge"/>
              <c:x val="0.443991853360489"/>
              <c:y val="0.893292682926829"/>
            </c:manualLayout>
          </c:layout>
          <c:overlay val="0"/>
          <c:spPr>
            <a:noFill/>
            <a:ln w="25399">
              <a:noFill/>
            </a:ln>
          </c:spPr>
        </c:title>
        <c:numFmt formatCode="General" sourceLinked="1"/>
        <c:majorTickMark val="out"/>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2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92265792"/>
        <c:crosses val="autoZero"/>
        <c:auto val="1"/>
        <c:lblAlgn val="ctr"/>
        <c:lblOffset val="100"/>
        <c:tickLblSkip val="1"/>
        <c:noMultiLvlLbl val="0"/>
      </c:catAx>
      <c:valAx>
        <c:axId val="92265792"/>
        <c:scaling>
          <c:orientation val="minMax"/>
        </c:scaling>
        <c:delete val="0"/>
        <c:axPos val="l"/>
        <c:majorGridlines>
          <c:spPr>
            <a:ln w="3175" cap="flat" cmpd="sng" algn="ctr">
              <a:solidFill>
                <a:srgbClr val="000000"/>
              </a:solidFill>
              <a:prstDash val="solid"/>
              <a:round/>
            </a:ln>
          </c:spPr>
        </c:majorGridlines>
        <c:title>
          <c:tx>
            <c:rich>
              <a:bodyPr rot="-5400000" spcFirstLastPara="0" vertOverflow="ellipsis" vert="horz" wrap="square" anchor="ctr" anchorCtr="1"/>
              <a:lstStyle/>
              <a:p>
                <a:pPr>
                  <a:defRPr lang="zh-CN" sz="1025" b="1" i="0" u="none" strike="noStrike" kern="1200" baseline="0">
                    <a:solidFill>
                      <a:srgbClr val="000000"/>
                    </a:solidFill>
                    <a:latin typeface="Arial" panose="020B0604020202020204" pitchFamily="2"/>
                    <a:ea typeface="Arial" panose="020B0604020202020204" pitchFamily="2"/>
                    <a:cs typeface="Arial" panose="020B0604020202020204" pitchFamily="2"/>
                  </a:defRPr>
                </a:pPr>
                <a:r>
                  <a:rPr lang="es-ES" b="0"/>
                  <a:t>LEVEL OF PRESUNTION</a:t>
                </a:r>
                <a:endParaRPr lang="es-ES" b="0"/>
              </a:p>
            </c:rich>
          </c:tx>
          <c:layout>
            <c:manualLayout>
              <c:xMode val="edge"/>
              <c:yMode val="edge"/>
              <c:x val="0.00986399427344309"/>
              <c:y val="0.193625676982071"/>
            </c:manualLayout>
          </c:layout>
          <c:overlay val="0"/>
          <c:spPr>
            <a:noFill/>
            <a:ln w="25399">
              <a:noFill/>
            </a:ln>
          </c:spPr>
        </c:title>
        <c:numFmt formatCode="General" sourceLinked="1"/>
        <c:majorTickMark val="out"/>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25"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83661056"/>
        <c:crosses val="autoZero"/>
        <c:crossBetween val="between"/>
      </c:valAx>
      <c:spPr>
        <a:solidFill>
          <a:srgbClr val="FFFFFF"/>
        </a:solidFill>
        <a:ln w="12700">
          <a:solidFill>
            <a:srgbClr val="FFFFFF"/>
          </a:solidFill>
          <a:prstDash val="solid"/>
        </a:ln>
      </c:spPr>
    </c:plotArea>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025"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6866</Words>
  <Characters>37765</Characters>
  <Lines>314</Lines>
  <Paragraphs>89</Paragraphs>
  <TotalTime>1</TotalTime>
  <ScaleCrop>false</ScaleCrop>
  <LinksUpToDate>false</LinksUpToDate>
  <CharactersWithSpaces>44542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2018-12-01T18:58:00Z</dcterms:created>
  <dc:creator>Trigueros Pina, Jose Antonio</dc:creator>
  <cp:lastModifiedBy>张编辑</cp:lastModifiedBy>
  <dcterms:modified xsi:type="dcterms:W3CDTF">2018-12-03T01:06:30Z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