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425" w:rsidRPr="004C3354" w:rsidRDefault="00D17425" w:rsidP="00D17425">
      <w:pPr>
        <w:spacing w:line="280" w:lineRule="auto"/>
        <w:jc w:val="both"/>
        <w:rPr>
          <w:rFonts w:ascii="Times New Roman" w:hAnsi="Times New Roman"/>
          <w:b/>
          <w:sz w:val="44"/>
          <w:szCs w:val="44"/>
          <w:lang w:val="en-US"/>
        </w:rPr>
      </w:pPr>
      <w:r w:rsidRPr="004C3354">
        <w:rPr>
          <w:rFonts w:ascii="Times New Roman" w:hAnsi="Times New Roman"/>
          <w:b/>
          <w:sz w:val="44"/>
          <w:szCs w:val="44"/>
          <w:lang w:val="en-US"/>
        </w:rPr>
        <w:t>References</w:t>
      </w:r>
    </w:p>
    <w:p w:rsidR="00D17425" w:rsidRPr="00176D93" w:rsidRDefault="00D17425" w:rsidP="00D17425">
      <w:pPr>
        <w:spacing w:line="280" w:lineRule="auto"/>
        <w:ind w:left="720"/>
        <w:jc w:val="both"/>
        <w:rPr>
          <w:rFonts w:ascii="Times New Roman" w:hAnsi="Times New Roman"/>
          <w:b/>
          <w:color w:val="000000"/>
          <w:sz w:val="28"/>
          <w:szCs w:val="24"/>
          <w:lang w:val="en-US"/>
        </w:rPr>
      </w:pP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303030"/>
          <w:sz w:val="24"/>
          <w:szCs w:val="24"/>
          <w:shd w:val="clear" w:color="auto" w:fill="FFFFFF"/>
          <w:lang w:val="en-US"/>
        </w:rPr>
        <w:t>[1]</w:t>
      </w:r>
      <w:r>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Gallardo E, Medina J, Sánchez JC, Viúdez A, Grande E, Porras I, Ramón Y Cajal T, Trigo J, Iglesias L, Capdevila J. SEOM clinical guideline thyroid cancer (2019).</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Clin Transl Oncol.</w:t>
      </w:r>
      <w:r w:rsidRPr="002D1803">
        <w:rPr>
          <w:rFonts w:ascii="Times New Roman" w:hAnsi="Times New Roman"/>
          <w:color w:val="212121"/>
          <w:sz w:val="24"/>
          <w:szCs w:val="24"/>
          <w:shd w:val="clear" w:color="auto" w:fill="FFFFFF"/>
          <w:lang w:val="en-US"/>
        </w:rPr>
        <w:t xml:space="preserve"> 2020</w:t>
      </w:r>
      <w:proofErr w:type="gramStart"/>
      <w:r w:rsidRPr="002D1803">
        <w:rPr>
          <w:rFonts w:ascii="Times New Roman" w:hAnsi="Times New Roman"/>
          <w:color w:val="212121"/>
          <w:sz w:val="24"/>
          <w:szCs w:val="24"/>
          <w:shd w:val="clear" w:color="auto" w:fill="FFFFFF"/>
          <w:lang w:val="en-US"/>
        </w:rPr>
        <w:t>;22</w:t>
      </w:r>
      <w:proofErr w:type="gramEnd"/>
      <w:r w:rsidRPr="002D1803">
        <w:rPr>
          <w:rFonts w:ascii="Times New Roman" w:hAnsi="Times New Roman"/>
          <w:color w:val="212121"/>
          <w:sz w:val="24"/>
          <w:szCs w:val="24"/>
          <w:shd w:val="clear" w:color="auto" w:fill="FFFFFF"/>
          <w:lang w:val="en-US"/>
        </w:rPr>
        <w:t>(2):223-35. </w:t>
      </w:r>
    </w:p>
    <w:p w:rsidR="00D17425" w:rsidRPr="002D1803" w:rsidRDefault="00D17425" w:rsidP="00D17425">
      <w:pPr>
        <w:spacing w:line="276" w:lineRule="auto"/>
        <w:jc w:val="both"/>
        <w:rPr>
          <w:rFonts w:ascii="Times New Roman" w:hAnsi="Times New Roman"/>
          <w:color w:val="303030"/>
          <w:sz w:val="24"/>
          <w:szCs w:val="24"/>
          <w:shd w:val="clear" w:color="auto" w:fill="FFFFFF"/>
          <w:lang w:val="en-US"/>
        </w:rPr>
      </w:pPr>
      <w:r>
        <w:rPr>
          <w:rFonts w:ascii="Times New Roman" w:hAnsi="Times New Roman"/>
          <w:color w:val="212121"/>
          <w:sz w:val="24"/>
          <w:szCs w:val="24"/>
          <w:shd w:val="clear" w:color="auto" w:fill="FFFFFF"/>
          <w:lang w:val="en-US"/>
        </w:rPr>
        <w:t>[2]</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Fagin JA, Wells SA Jr.</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Biologic and Clinical Perspectives on Thyroid Cancer. </w:t>
      </w:r>
      <w:r w:rsidRPr="002D1803">
        <w:rPr>
          <w:rFonts w:ascii="Times New Roman" w:hAnsi="Times New Roman"/>
          <w:i/>
          <w:noProof/>
          <w:color w:val="303030"/>
          <w:sz w:val="24"/>
          <w:szCs w:val="24"/>
          <w:shd w:val="clear" w:color="auto" w:fill="FFFFFF"/>
          <w:lang w:val="en-US"/>
        </w:rPr>
        <w:t>N Engl J Med</w:t>
      </w:r>
      <w:r w:rsidRPr="002D1803">
        <w:rPr>
          <w:rFonts w:ascii="Times New Roman" w:hAnsi="Times New Roman"/>
          <w:noProof/>
          <w:color w:val="303030"/>
          <w:sz w:val="24"/>
          <w:szCs w:val="24"/>
          <w:shd w:val="clear" w:color="auto" w:fill="FFFFFF"/>
          <w:lang w:val="en-US"/>
        </w:rPr>
        <w:t>.</w:t>
      </w:r>
      <w:r w:rsidRPr="002D1803">
        <w:rPr>
          <w:rFonts w:ascii="Times New Roman" w:hAnsi="Times New Roman"/>
          <w:color w:val="303030"/>
          <w:sz w:val="24"/>
          <w:szCs w:val="24"/>
          <w:shd w:val="clear" w:color="auto" w:fill="FFFFFF"/>
          <w:lang w:val="en-US"/>
        </w:rPr>
        <w:t xml:space="preserve"> 2016</w:t>
      </w:r>
      <w:proofErr w:type="gramStart"/>
      <w:r w:rsidRPr="002D1803">
        <w:rPr>
          <w:rFonts w:ascii="Times New Roman" w:hAnsi="Times New Roman"/>
          <w:color w:val="303030"/>
          <w:sz w:val="24"/>
          <w:szCs w:val="24"/>
          <w:shd w:val="clear" w:color="auto" w:fill="FFFFFF"/>
          <w:lang w:val="en-US"/>
        </w:rPr>
        <w:t>;375</w:t>
      </w:r>
      <w:proofErr w:type="gramEnd"/>
      <w:r w:rsidRPr="002D1803">
        <w:rPr>
          <w:rFonts w:ascii="Times New Roman" w:hAnsi="Times New Roman"/>
          <w:color w:val="303030"/>
          <w:sz w:val="24"/>
          <w:szCs w:val="24"/>
          <w:shd w:val="clear" w:color="auto" w:fill="FFFFFF"/>
          <w:lang w:val="en-US"/>
        </w:rPr>
        <w:t xml:space="preserve">(11):1054-67. </w:t>
      </w:r>
    </w:p>
    <w:p w:rsidR="00D17425" w:rsidRPr="002D1803" w:rsidRDefault="00D17425" w:rsidP="00D17425">
      <w:pPr>
        <w:spacing w:line="276" w:lineRule="auto"/>
        <w:jc w:val="both"/>
        <w:rPr>
          <w:rFonts w:ascii="Times New Roman" w:hAnsi="Times New Roman"/>
          <w:color w:val="303030"/>
          <w:sz w:val="24"/>
          <w:szCs w:val="24"/>
          <w:shd w:val="clear" w:color="auto" w:fill="FFFFFF"/>
          <w:lang w:val="en-US"/>
        </w:rPr>
      </w:pPr>
      <w:r>
        <w:rPr>
          <w:rFonts w:ascii="Times New Roman" w:hAnsi="Times New Roman"/>
          <w:color w:val="000000"/>
          <w:sz w:val="24"/>
          <w:szCs w:val="24"/>
          <w:lang w:val="en-US"/>
        </w:rPr>
        <w:t>[3]</w:t>
      </w:r>
      <w:r>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Haugen BR, Alexander EK, Bible KC, et al.</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2015 American Thyroid Association Management Guidelines for Adult Patients with Thyroid Nodules and Differentiated Thyroid Cancer:</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The American Thyroid Association Guidelines Task Force on Thyroid Nodules and Differentiated Thyroid Cancer. </w:t>
      </w:r>
      <w:r w:rsidRPr="002D1803">
        <w:rPr>
          <w:rFonts w:ascii="Times New Roman" w:hAnsi="Times New Roman"/>
          <w:i/>
          <w:noProof/>
          <w:color w:val="303030"/>
          <w:sz w:val="24"/>
          <w:szCs w:val="24"/>
          <w:shd w:val="clear" w:color="auto" w:fill="FFFFFF"/>
          <w:lang w:val="en-US"/>
        </w:rPr>
        <w:t>Thyroid</w:t>
      </w:r>
      <w:r w:rsidRPr="002D1803">
        <w:rPr>
          <w:rFonts w:ascii="Times New Roman" w:hAnsi="Times New Roman"/>
          <w:noProof/>
          <w:color w:val="303030"/>
          <w:sz w:val="24"/>
          <w:szCs w:val="24"/>
          <w:shd w:val="clear" w:color="auto" w:fill="FFFFFF"/>
          <w:lang w:val="en-US"/>
        </w:rPr>
        <w:t>. 2016;26(1):1-133.</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212121"/>
          <w:sz w:val="24"/>
          <w:szCs w:val="24"/>
          <w:shd w:val="clear" w:color="auto" w:fill="FFFFFF"/>
          <w:lang w:val="en-US"/>
        </w:rPr>
        <w:t>[4]</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Filetti S, Durante C, Hartl D, Leboulleux S, Locati LD, Newbold K, Papotti MG, Berruti A; ESMO Guidelines Committee.</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Electronic address:</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clinicalguidelines@esmo.org. Thyroid cancer:</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ESMO Clinical Practice Guidelines for diagnosis, treatment and follow-up†.</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Ann Oncol.</w:t>
      </w:r>
      <w:r w:rsidRPr="002D1803">
        <w:rPr>
          <w:rFonts w:ascii="Times New Roman" w:hAnsi="Times New Roman"/>
          <w:color w:val="212121"/>
          <w:sz w:val="24"/>
          <w:szCs w:val="24"/>
          <w:shd w:val="clear" w:color="auto" w:fill="FFFFFF"/>
          <w:lang w:val="en-US"/>
        </w:rPr>
        <w:t xml:space="preserve"> 2019</w:t>
      </w:r>
      <w:proofErr w:type="gramStart"/>
      <w:r w:rsidRPr="002D1803">
        <w:rPr>
          <w:rFonts w:ascii="Times New Roman" w:hAnsi="Times New Roman"/>
          <w:color w:val="212121"/>
          <w:sz w:val="24"/>
          <w:szCs w:val="24"/>
          <w:shd w:val="clear" w:color="auto" w:fill="FFFFFF"/>
          <w:lang w:val="en-US"/>
        </w:rPr>
        <w:t>;30</w:t>
      </w:r>
      <w:proofErr w:type="gramEnd"/>
      <w:r w:rsidRPr="002D1803">
        <w:rPr>
          <w:rFonts w:ascii="Times New Roman" w:hAnsi="Times New Roman"/>
          <w:color w:val="212121"/>
          <w:sz w:val="24"/>
          <w:szCs w:val="24"/>
          <w:shd w:val="clear" w:color="auto" w:fill="FFFFFF"/>
          <w:lang w:val="en-US"/>
        </w:rPr>
        <w:t>(12):1856-83. </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212121"/>
          <w:sz w:val="24"/>
          <w:szCs w:val="24"/>
          <w:shd w:val="clear" w:color="auto" w:fill="FFFFFF"/>
          <w:lang w:val="en-US"/>
        </w:rPr>
        <w:t xml:space="preserve">[5] </w:t>
      </w:r>
      <w:r w:rsidRPr="002D1803">
        <w:rPr>
          <w:rFonts w:ascii="Times New Roman" w:hAnsi="Times New Roman"/>
          <w:noProof/>
          <w:color w:val="212121"/>
          <w:sz w:val="24"/>
          <w:szCs w:val="24"/>
          <w:shd w:val="clear" w:color="auto" w:fill="FFFFFF"/>
          <w:lang w:val="en-US"/>
        </w:rPr>
        <w:t>Cabanillas ME, McFadden DG, Durante C. Thyroid cancer. Lancet. 2016;388(10061):2783-95.</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000000"/>
          <w:sz w:val="24"/>
          <w:szCs w:val="24"/>
          <w:lang w:val="en-US"/>
        </w:rPr>
        <w:t>[6]</w:t>
      </w:r>
      <w:r w:rsidRPr="002D1803">
        <w:rPr>
          <w:rFonts w:ascii="Times New Roman" w:hAnsi="Times New Roman"/>
          <w:color w:val="000000"/>
          <w:sz w:val="24"/>
          <w:szCs w:val="24"/>
          <w:lang w:val="en-US"/>
        </w:rPr>
        <w:t xml:space="preserve"> </w:t>
      </w:r>
      <w:r w:rsidRPr="002D1803">
        <w:rPr>
          <w:rFonts w:ascii="Times New Roman" w:hAnsi="Times New Roman"/>
          <w:noProof/>
          <w:color w:val="212121"/>
          <w:sz w:val="24"/>
          <w:szCs w:val="24"/>
          <w:shd w:val="clear" w:color="auto" w:fill="FFFFFF"/>
          <w:lang w:val="en-US"/>
        </w:rPr>
        <w:t>Pellegriti G, Frasca F, Regalbuto C, Squatrito S, Vigneri R. Worldwide increasing incidence of thyroid cancer:</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update on epidemiology and risk factors.</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J Cancer Epidemiol.</w:t>
      </w:r>
      <w:r w:rsidRPr="002D1803">
        <w:rPr>
          <w:rFonts w:ascii="Times New Roman" w:hAnsi="Times New Roman"/>
          <w:color w:val="212121"/>
          <w:sz w:val="24"/>
          <w:szCs w:val="24"/>
          <w:shd w:val="clear" w:color="auto" w:fill="FFFFFF"/>
          <w:lang w:val="en-US"/>
        </w:rPr>
        <w:t xml:space="preserve"> 2013:965212. </w:t>
      </w:r>
    </w:p>
    <w:p w:rsidR="00D17425" w:rsidRPr="002D1803" w:rsidRDefault="00D17425" w:rsidP="00D17425">
      <w:pPr>
        <w:spacing w:line="276" w:lineRule="auto"/>
        <w:jc w:val="both"/>
        <w:rPr>
          <w:rFonts w:ascii="Times New Roman" w:hAnsi="Times New Roman"/>
          <w:color w:val="303030"/>
          <w:sz w:val="24"/>
          <w:szCs w:val="24"/>
          <w:shd w:val="clear" w:color="auto" w:fill="FFFFFF"/>
          <w:lang w:val="en-US"/>
        </w:rPr>
      </w:pPr>
      <w:r>
        <w:rPr>
          <w:rFonts w:ascii="Times New Roman" w:hAnsi="Times New Roman"/>
          <w:color w:val="212121"/>
          <w:sz w:val="24"/>
          <w:szCs w:val="24"/>
          <w:shd w:val="clear" w:color="auto" w:fill="FFFFFF"/>
          <w:lang w:val="en-US"/>
        </w:rPr>
        <w:t>[7]</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Schneider DF, Chen H. New developments in the diagnosis and treatment of thyroid cancer. </w:t>
      </w:r>
      <w:r w:rsidRPr="002D1803">
        <w:rPr>
          <w:rFonts w:ascii="Times New Roman" w:hAnsi="Times New Roman"/>
          <w:i/>
          <w:noProof/>
          <w:color w:val="303030"/>
          <w:sz w:val="24"/>
          <w:szCs w:val="24"/>
          <w:shd w:val="clear" w:color="auto" w:fill="FFFFFF"/>
          <w:lang w:val="en-US"/>
        </w:rPr>
        <w:t>CA Cancer J Clin</w:t>
      </w:r>
      <w:r w:rsidRPr="002D1803">
        <w:rPr>
          <w:rFonts w:ascii="Times New Roman" w:hAnsi="Times New Roman"/>
          <w:noProof/>
          <w:color w:val="303030"/>
          <w:sz w:val="24"/>
          <w:szCs w:val="24"/>
          <w:shd w:val="clear" w:color="auto" w:fill="FFFFFF"/>
          <w:lang w:val="en-US"/>
        </w:rPr>
        <w:t>.</w:t>
      </w:r>
      <w:r w:rsidRPr="002D1803">
        <w:rPr>
          <w:rFonts w:ascii="Times New Roman" w:hAnsi="Times New Roman"/>
          <w:color w:val="303030"/>
          <w:sz w:val="24"/>
          <w:szCs w:val="24"/>
          <w:shd w:val="clear" w:color="auto" w:fill="FFFFFF"/>
          <w:lang w:val="en-US"/>
        </w:rPr>
        <w:t xml:space="preserve"> 2013</w:t>
      </w:r>
      <w:proofErr w:type="gramStart"/>
      <w:r w:rsidRPr="002D1803">
        <w:rPr>
          <w:rFonts w:ascii="Times New Roman" w:hAnsi="Times New Roman"/>
          <w:color w:val="303030"/>
          <w:sz w:val="24"/>
          <w:szCs w:val="24"/>
          <w:shd w:val="clear" w:color="auto" w:fill="FFFFFF"/>
          <w:lang w:val="en-US"/>
        </w:rPr>
        <w:t>;63</w:t>
      </w:r>
      <w:proofErr w:type="gramEnd"/>
      <w:r w:rsidRPr="002D1803">
        <w:rPr>
          <w:rFonts w:ascii="Times New Roman" w:hAnsi="Times New Roman"/>
          <w:color w:val="303030"/>
          <w:sz w:val="24"/>
          <w:szCs w:val="24"/>
          <w:shd w:val="clear" w:color="auto" w:fill="FFFFFF"/>
          <w:lang w:val="en-US"/>
        </w:rPr>
        <w:t xml:space="preserve">(6):374-94. </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303030"/>
          <w:sz w:val="24"/>
          <w:szCs w:val="24"/>
          <w:shd w:val="clear" w:color="auto" w:fill="FFFFFF"/>
          <w:lang w:val="en-US"/>
        </w:rPr>
        <w:t>[8]</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Ain KB.</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Papillary thyroid carcinoma.</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Etiology, assessment, and therapy.</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Endocrinol Metab Clin North Am.</w:t>
      </w:r>
      <w:r w:rsidRPr="002D1803">
        <w:rPr>
          <w:rFonts w:ascii="Times New Roman" w:hAnsi="Times New Roman"/>
          <w:color w:val="212121"/>
          <w:sz w:val="24"/>
          <w:szCs w:val="24"/>
          <w:shd w:val="clear" w:color="auto" w:fill="FFFFFF"/>
          <w:lang w:val="en-US"/>
        </w:rPr>
        <w:t xml:space="preserve"> 1995</w:t>
      </w:r>
      <w:proofErr w:type="gramStart"/>
      <w:r w:rsidRPr="002D1803">
        <w:rPr>
          <w:rFonts w:ascii="Times New Roman" w:hAnsi="Times New Roman"/>
          <w:color w:val="212121"/>
          <w:sz w:val="24"/>
          <w:szCs w:val="24"/>
          <w:shd w:val="clear" w:color="auto" w:fill="FFFFFF"/>
          <w:lang w:val="en-US"/>
        </w:rPr>
        <w:t>;24</w:t>
      </w:r>
      <w:proofErr w:type="gramEnd"/>
      <w:r w:rsidRPr="002D1803">
        <w:rPr>
          <w:rFonts w:ascii="Times New Roman" w:hAnsi="Times New Roman"/>
          <w:color w:val="212121"/>
          <w:sz w:val="24"/>
          <w:szCs w:val="24"/>
          <w:shd w:val="clear" w:color="auto" w:fill="FFFFFF"/>
          <w:lang w:val="en-US"/>
        </w:rPr>
        <w:t>(4):711-60.</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212121"/>
          <w:sz w:val="24"/>
          <w:szCs w:val="24"/>
          <w:shd w:val="clear" w:color="auto" w:fill="FFFFFF"/>
          <w:lang w:val="en-US"/>
        </w:rPr>
        <w:t>[9]</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Sadeghi H, Rafei M, Bahrami M, Haghdoost A, Shabani Y. Attributable risk fraction of four lifestyle risk factors of thyroid cancer:</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a meta-analysis.</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J Public Health (Oxf).</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2018;40(2):e91-e98. </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212121"/>
          <w:sz w:val="24"/>
          <w:szCs w:val="24"/>
          <w:shd w:val="clear" w:color="auto" w:fill="FFFFFF"/>
          <w:lang w:val="en-US"/>
        </w:rPr>
        <w:t>[10]</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Seib CD, Sosa JA.</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Evolving Understanding of the Epidemiology of Thyroid Cancer.</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Endocrinol Metab Clin North Am.</w:t>
      </w:r>
      <w:r w:rsidRPr="002D1803">
        <w:rPr>
          <w:rFonts w:ascii="Times New Roman" w:hAnsi="Times New Roman"/>
          <w:color w:val="212121"/>
          <w:sz w:val="24"/>
          <w:szCs w:val="24"/>
          <w:shd w:val="clear" w:color="auto" w:fill="FFFFFF"/>
          <w:lang w:val="en-US"/>
        </w:rPr>
        <w:t xml:space="preserve"> 2019</w:t>
      </w:r>
      <w:proofErr w:type="gramStart"/>
      <w:r w:rsidRPr="002D1803">
        <w:rPr>
          <w:rFonts w:ascii="Times New Roman" w:hAnsi="Times New Roman"/>
          <w:color w:val="212121"/>
          <w:sz w:val="24"/>
          <w:szCs w:val="24"/>
          <w:shd w:val="clear" w:color="auto" w:fill="FFFFFF"/>
          <w:lang w:val="en-US"/>
        </w:rPr>
        <w:t>;48</w:t>
      </w:r>
      <w:proofErr w:type="gramEnd"/>
      <w:r w:rsidRPr="002D1803">
        <w:rPr>
          <w:rFonts w:ascii="Times New Roman" w:hAnsi="Times New Roman"/>
          <w:color w:val="212121"/>
          <w:sz w:val="24"/>
          <w:szCs w:val="24"/>
          <w:shd w:val="clear" w:color="auto" w:fill="FFFFFF"/>
          <w:lang w:val="en-US"/>
        </w:rPr>
        <w:t>(1):23-35.</w:t>
      </w:r>
    </w:p>
    <w:p w:rsidR="00D17425" w:rsidRPr="002D1803" w:rsidRDefault="00D17425" w:rsidP="00D17425">
      <w:pPr>
        <w:pStyle w:val="Balk1"/>
        <w:shd w:val="clear" w:color="auto" w:fill="FFFFFF"/>
        <w:spacing w:before="0" w:beforeAutospacing="0" w:after="315" w:afterAutospacing="0" w:line="276" w:lineRule="auto"/>
        <w:jc w:val="both"/>
        <w:rPr>
          <w:b w:val="0"/>
          <w:bCs w:val="0"/>
          <w:color w:val="212121"/>
          <w:sz w:val="24"/>
          <w:szCs w:val="24"/>
          <w:shd w:val="clear" w:color="auto" w:fill="FFFFFF"/>
          <w:lang w:val="en-US"/>
        </w:rPr>
      </w:pPr>
      <w:r>
        <w:rPr>
          <w:b w:val="0"/>
          <w:bCs w:val="0"/>
          <w:color w:val="212121"/>
          <w:sz w:val="24"/>
          <w:szCs w:val="24"/>
          <w:shd w:val="clear" w:color="auto" w:fill="FFFFFF"/>
          <w:lang w:val="en-US"/>
        </w:rPr>
        <w:t>[11]</w:t>
      </w:r>
      <w:r w:rsidRPr="002D1803">
        <w:rPr>
          <w:b w:val="0"/>
          <w:bCs w:val="0"/>
          <w:color w:val="212121"/>
          <w:sz w:val="24"/>
          <w:szCs w:val="24"/>
          <w:shd w:val="clear" w:color="auto" w:fill="FFFFFF"/>
          <w:lang w:val="en-US"/>
        </w:rPr>
        <w:t xml:space="preserve"> </w:t>
      </w:r>
      <w:r w:rsidRPr="002D1803">
        <w:rPr>
          <w:b w:val="0"/>
          <w:bCs w:val="0"/>
          <w:noProof/>
          <w:color w:val="212121"/>
          <w:sz w:val="24"/>
          <w:szCs w:val="24"/>
          <w:shd w:val="clear" w:color="auto" w:fill="FFFFFF"/>
          <w:lang w:val="en-US"/>
        </w:rPr>
        <w:t>Dzieczkowski JF, Anderson KC.</w:t>
      </w:r>
      <w:r w:rsidRPr="002D1803">
        <w:rPr>
          <w:b w:val="0"/>
          <w:bCs w:val="0"/>
          <w:color w:val="212121"/>
          <w:sz w:val="24"/>
          <w:szCs w:val="24"/>
          <w:shd w:val="clear" w:color="auto" w:fill="FFFFFF"/>
          <w:lang w:val="en-US"/>
        </w:rPr>
        <w:t xml:space="preserve"> </w:t>
      </w:r>
      <w:r w:rsidRPr="002D1803">
        <w:rPr>
          <w:b w:val="0"/>
          <w:bCs w:val="0"/>
          <w:noProof/>
          <w:color w:val="212121"/>
          <w:sz w:val="24"/>
          <w:szCs w:val="24"/>
          <w:shd w:val="clear" w:color="auto" w:fill="FFFFFF"/>
          <w:lang w:val="en-US"/>
        </w:rPr>
        <w:t>Transfusion Biology and Therapy.</w:t>
      </w:r>
      <w:r w:rsidRPr="002D1803">
        <w:rPr>
          <w:b w:val="0"/>
          <w:bCs w:val="0"/>
          <w:color w:val="333333"/>
          <w:sz w:val="24"/>
          <w:szCs w:val="24"/>
          <w:lang w:val="en-US"/>
        </w:rPr>
        <w:t xml:space="preserve"> </w:t>
      </w:r>
      <w:r w:rsidRPr="002D1803">
        <w:rPr>
          <w:b w:val="0"/>
          <w:bCs w:val="0"/>
          <w:noProof/>
          <w:color w:val="333333"/>
          <w:sz w:val="24"/>
          <w:szCs w:val="24"/>
          <w:lang w:val="en-US"/>
        </w:rPr>
        <w:t>Harrison's Principles of Internal Medicine.</w:t>
      </w:r>
      <w:r w:rsidRPr="002D1803">
        <w:rPr>
          <w:b w:val="0"/>
          <w:bCs w:val="0"/>
          <w:color w:val="333333"/>
          <w:sz w:val="24"/>
          <w:szCs w:val="24"/>
          <w:lang w:val="en-US"/>
        </w:rPr>
        <w:t xml:space="preserve"> </w:t>
      </w:r>
      <w:r w:rsidRPr="002D1803">
        <w:rPr>
          <w:b w:val="0"/>
          <w:bCs w:val="0"/>
          <w:noProof/>
          <w:color w:val="333333"/>
          <w:sz w:val="24"/>
          <w:szCs w:val="24"/>
          <w:lang w:val="en-US"/>
        </w:rPr>
        <w:t>Longo DL, Kasper DL, Jameson JL, Fauci AS, Hauser SL, Loscalzo J (eds).</w:t>
      </w:r>
      <w:r w:rsidRPr="002D1803">
        <w:rPr>
          <w:b w:val="0"/>
          <w:bCs w:val="0"/>
          <w:color w:val="333333"/>
          <w:sz w:val="24"/>
          <w:szCs w:val="24"/>
          <w:lang w:val="en-US"/>
        </w:rPr>
        <w:t xml:space="preserve"> </w:t>
      </w:r>
      <w:r w:rsidRPr="002D1803">
        <w:rPr>
          <w:b w:val="0"/>
          <w:bCs w:val="0"/>
          <w:noProof/>
          <w:color w:val="333333"/>
          <w:sz w:val="24"/>
          <w:szCs w:val="24"/>
          <w:lang w:val="en-US"/>
        </w:rPr>
        <w:t>18th ed.</w:t>
      </w:r>
      <w:r w:rsidRPr="002D1803">
        <w:rPr>
          <w:b w:val="0"/>
          <w:bCs w:val="0"/>
          <w:color w:val="333333"/>
          <w:sz w:val="24"/>
          <w:szCs w:val="24"/>
          <w:lang w:val="en-US"/>
        </w:rPr>
        <w:t xml:space="preserve"> </w:t>
      </w:r>
      <w:r w:rsidRPr="002D1803">
        <w:rPr>
          <w:b w:val="0"/>
          <w:bCs w:val="0"/>
          <w:noProof/>
          <w:color w:val="333333"/>
          <w:sz w:val="24"/>
          <w:szCs w:val="24"/>
          <w:lang w:val="en-US"/>
        </w:rPr>
        <w:t>New York.</w:t>
      </w:r>
      <w:r w:rsidRPr="002D1803">
        <w:rPr>
          <w:b w:val="0"/>
          <w:bCs w:val="0"/>
          <w:color w:val="333333"/>
          <w:sz w:val="24"/>
          <w:szCs w:val="24"/>
          <w:lang w:val="en-US"/>
        </w:rPr>
        <w:t xml:space="preserve"> </w:t>
      </w:r>
      <w:r w:rsidRPr="002D1803">
        <w:rPr>
          <w:b w:val="0"/>
          <w:bCs w:val="0"/>
          <w:noProof/>
          <w:color w:val="000000"/>
          <w:sz w:val="24"/>
          <w:szCs w:val="24"/>
          <w:lang w:val="en-US"/>
        </w:rPr>
        <w:t>McGraw-Hill Education</w:t>
      </w:r>
      <w:r w:rsidRPr="002D1803">
        <w:rPr>
          <w:b w:val="0"/>
          <w:bCs w:val="0"/>
          <w:noProof/>
          <w:color w:val="000000"/>
          <w:sz w:val="24"/>
          <w:szCs w:val="24"/>
          <w:shd w:val="clear" w:color="auto" w:fill="FFFFFF"/>
          <w:lang w:val="en-US"/>
        </w:rPr>
        <w:t>;</w:t>
      </w:r>
      <w:r w:rsidRPr="002D1803">
        <w:rPr>
          <w:b w:val="0"/>
          <w:bCs w:val="0"/>
          <w:noProof/>
          <w:color w:val="000000"/>
          <w:sz w:val="24"/>
          <w:szCs w:val="24"/>
          <w:lang w:val="en-US"/>
        </w:rPr>
        <w:t>2011(1);</w:t>
      </w:r>
      <w:r w:rsidRPr="002D1803">
        <w:rPr>
          <w:b w:val="0"/>
          <w:bCs w:val="0"/>
          <w:noProof/>
          <w:color w:val="212121"/>
          <w:sz w:val="24"/>
          <w:szCs w:val="24"/>
          <w:shd w:val="clear" w:color="auto" w:fill="FFFFFF"/>
          <w:lang w:val="en-US"/>
        </w:rPr>
        <w:t>951-7.</w:t>
      </w:r>
    </w:p>
    <w:p w:rsidR="00D17425" w:rsidRPr="002D1803" w:rsidRDefault="00D17425" w:rsidP="00D17425">
      <w:pPr>
        <w:spacing w:line="276" w:lineRule="auto"/>
        <w:jc w:val="both"/>
        <w:rPr>
          <w:rFonts w:ascii="Times New Roman" w:hAnsi="Times New Roman"/>
          <w:color w:val="303030"/>
          <w:sz w:val="24"/>
          <w:szCs w:val="24"/>
          <w:shd w:val="clear" w:color="auto" w:fill="FFFFFF"/>
          <w:lang w:val="en-US"/>
        </w:rPr>
      </w:pPr>
      <w:r>
        <w:rPr>
          <w:rFonts w:ascii="Times New Roman" w:hAnsi="Times New Roman"/>
          <w:color w:val="303030"/>
          <w:sz w:val="24"/>
          <w:szCs w:val="24"/>
          <w:shd w:val="clear" w:color="auto" w:fill="FFFFFF"/>
          <w:lang w:val="en-US"/>
        </w:rPr>
        <w:t>[12]</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Franchini M, Liumbruno GM, Lippi G. The prognostic value of ABO blood group in cancer patients. </w:t>
      </w:r>
      <w:r w:rsidRPr="002D1803">
        <w:rPr>
          <w:rFonts w:ascii="Times New Roman" w:hAnsi="Times New Roman"/>
          <w:i/>
          <w:noProof/>
          <w:color w:val="303030"/>
          <w:sz w:val="24"/>
          <w:szCs w:val="24"/>
          <w:shd w:val="clear" w:color="auto" w:fill="FFFFFF"/>
          <w:lang w:val="en-US"/>
        </w:rPr>
        <w:t>Blood Transfus</w:t>
      </w:r>
      <w:r w:rsidRPr="002D1803">
        <w:rPr>
          <w:rFonts w:ascii="Times New Roman" w:hAnsi="Times New Roman"/>
          <w:noProof/>
          <w:color w:val="303030"/>
          <w:sz w:val="24"/>
          <w:szCs w:val="24"/>
          <w:shd w:val="clear" w:color="auto" w:fill="FFFFFF"/>
          <w:lang w:val="en-US"/>
        </w:rPr>
        <w:t>.</w:t>
      </w:r>
      <w:r w:rsidRPr="002D1803">
        <w:rPr>
          <w:rFonts w:ascii="Times New Roman" w:hAnsi="Times New Roman"/>
          <w:color w:val="303030"/>
          <w:sz w:val="24"/>
          <w:szCs w:val="24"/>
          <w:shd w:val="clear" w:color="auto" w:fill="FFFFFF"/>
          <w:lang w:val="en-US"/>
        </w:rPr>
        <w:t xml:space="preserve"> 2016</w:t>
      </w:r>
      <w:proofErr w:type="gramStart"/>
      <w:r w:rsidRPr="002D1803">
        <w:rPr>
          <w:rFonts w:ascii="Times New Roman" w:hAnsi="Times New Roman"/>
          <w:color w:val="303030"/>
          <w:sz w:val="24"/>
          <w:szCs w:val="24"/>
          <w:shd w:val="clear" w:color="auto" w:fill="FFFFFF"/>
          <w:lang w:val="en-US"/>
        </w:rPr>
        <w:t>;14</w:t>
      </w:r>
      <w:proofErr w:type="gramEnd"/>
      <w:r w:rsidRPr="002D1803">
        <w:rPr>
          <w:rFonts w:ascii="Times New Roman" w:hAnsi="Times New Roman"/>
          <w:color w:val="303030"/>
          <w:sz w:val="24"/>
          <w:szCs w:val="24"/>
          <w:shd w:val="clear" w:color="auto" w:fill="FFFFFF"/>
          <w:lang w:val="en-US"/>
        </w:rPr>
        <w:t>(5):434-40.</w:t>
      </w:r>
    </w:p>
    <w:p w:rsidR="00D17425" w:rsidRPr="002D1803" w:rsidRDefault="00D17425" w:rsidP="00D17425">
      <w:pPr>
        <w:spacing w:line="276" w:lineRule="auto"/>
        <w:jc w:val="both"/>
        <w:rPr>
          <w:rFonts w:ascii="Times New Roman" w:hAnsi="Times New Roman"/>
          <w:color w:val="000000"/>
          <w:sz w:val="24"/>
          <w:szCs w:val="24"/>
          <w:lang w:val="en-US"/>
        </w:rPr>
      </w:pPr>
      <w:r>
        <w:rPr>
          <w:rFonts w:ascii="Times New Roman" w:hAnsi="Times New Roman"/>
          <w:color w:val="303030"/>
          <w:sz w:val="24"/>
          <w:szCs w:val="24"/>
          <w:shd w:val="clear" w:color="auto" w:fill="FFFFFF"/>
          <w:lang w:val="en-US"/>
        </w:rPr>
        <w:t>[13]</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Rummel SK, Ellsworth RE.</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The role of the histoblood ABO group in cancer. </w:t>
      </w:r>
      <w:r w:rsidRPr="002D1803">
        <w:rPr>
          <w:rFonts w:ascii="Times New Roman" w:hAnsi="Times New Roman"/>
          <w:i/>
          <w:noProof/>
          <w:color w:val="303030"/>
          <w:sz w:val="24"/>
          <w:szCs w:val="24"/>
          <w:shd w:val="clear" w:color="auto" w:fill="FFFFFF"/>
          <w:lang w:val="en-US"/>
        </w:rPr>
        <w:t>Future Sci OA</w:t>
      </w:r>
      <w:r w:rsidRPr="002D1803">
        <w:rPr>
          <w:rFonts w:ascii="Times New Roman" w:hAnsi="Times New Roman"/>
          <w:noProof/>
          <w:color w:val="303030"/>
          <w:sz w:val="24"/>
          <w:szCs w:val="24"/>
          <w:shd w:val="clear" w:color="auto" w:fill="FFFFFF"/>
          <w:lang w:val="en-US"/>
        </w:rPr>
        <w:t>.</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2016;2(2):FSO107.</w:t>
      </w:r>
      <w:r w:rsidRPr="002D1803">
        <w:rPr>
          <w:rFonts w:ascii="Times New Roman" w:hAnsi="Times New Roman"/>
          <w:color w:val="303030"/>
          <w:sz w:val="24"/>
          <w:szCs w:val="24"/>
          <w:shd w:val="clear" w:color="auto" w:fill="FFFFFF"/>
          <w:lang w:val="en-US"/>
        </w:rPr>
        <w:t xml:space="preserve"> </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sz w:val="24"/>
          <w:szCs w:val="24"/>
          <w:lang w:val="en-US"/>
        </w:rPr>
        <w:lastRenderedPageBreak/>
        <w:t>[14]</w:t>
      </w:r>
      <w:r w:rsidRPr="002D1803">
        <w:rPr>
          <w:rFonts w:ascii="Times New Roman" w:hAnsi="Times New Roman"/>
          <w:sz w:val="24"/>
          <w:szCs w:val="24"/>
          <w:lang w:val="en-US"/>
        </w:rPr>
        <w:t xml:space="preserve"> </w:t>
      </w:r>
      <w:r w:rsidRPr="002D1803">
        <w:rPr>
          <w:rFonts w:ascii="Times New Roman" w:hAnsi="Times New Roman"/>
          <w:noProof/>
          <w:color w:val="212121"/>
          <w:sz w:val="24"/>
          <w:szCs w:val="24"/>
          <w:shd w:val="clear" w:color="auto" w:fill="FFFFFF"/>
          <w:lang w:val="en-US"/>
        </w:rPr>
        <w:t>Tam AA, Özdemir D, Fakı S, Bilginer MC, Ersoy R, Çakır B. ABO Blood Groups, Rh Factor, and Thyroid Cancer Risk:</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To 'B' or Not to 'B'.</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Endocr Res.</w:t>
      </w:r>
      <w:r w:rsidRPr="002D1803">
        <w:rPr>
          <w:rFonts w:ascii="Times New Roman" w:hAnsi="Times New Roman"/>
          <w:color w:val="212121"/>
          <w:sz w:val="24"/>
          <w:szCs w:val="24"/>
          <w:shd w:val="clear" w:color="auto" w:fill="FFFFFF"/>
          <w:lang w:val="en-US"/>
        </w:rPr>
        <w:t xml:space="preserve"> 2020</w:t>
      </w:r>
      <w:proofErr w:type="gramStart"/>
      <w:r w:rsidRPr="002D1803">
        <w:rPr>
          <w:rFonts w:ascii="Times New Roman" w:hAnsi="Times New Roman"/>
          <w:color w:val="212121"/>
          <w:sz w:val="24"/>
          <w:szCs w:val="24"/>
          <w:shd w:val="clear" w:color="auto" w:fill="FFFFFF"/>
          <w:lang w:val="en-US"/>
        </w:rPr>
        <w:t>;45</w:t>
      </w:r>
      <w:proofErr w:type="gramEnd"/>
      <w:r w:rsidRPr="002D1803">
        <w:rPr>
          <w:rFonts w:ascii="Times New Roman" w:hAnsi="Times New Roman"/>
          <w:color w:val="212121"/>
          <w:sz w:val="24"/>
          <w:szCs w:val="24"/>
          <w:shd w:val="clear" w:color="auto" w:fill="FFFFFF"/>
          <w:lang w:val="en-US"/>
        </w:rPr>
        <w:t>(2):137-46. </w:t>
      </w:r>
    </w:p>
    <w:p w:rsidR="00D17425" w:rsidRPr="002D1803" w:rsidRDefault="00D17425" w:rsidP="00D17425">
      <w:pPr>
        <w:spacing w:line="276" w:lineRule="auto"/>
        <w:jc w:val="both"/>
        <w:rPr>
          <w:rFonts w:ascii="Times New Roman" w:hAnsi="Times New Roman"/>
          <w:color w:val="000000"/>
          <w:sz w:val="24"/>
          <w:szCs w:val="24"/>
          <w:lang w:val="en-US"/>
        </w:rPr>
      </w:pPr>
      <w:r>
        <w:rPr>
          <w:rFonts w:ascii="Times New Roman" w:hAnsi="Times New Roman"/>
          <w:color w:val="212121"/>
          <w:sz w:val="24"/>
          <w:szCs w:val="24"/>
          <w:shd w:val="clear" w:color="auto" w:fill="FFFFFF"/>
        </w:rPr>
        <w:t>[15]</w:t>
      </w:r>
      <w:r w:rsidRPr="002D1803">
        <w:rPr>
          <w:rFonts w:ascii="Times New Roman" w:hAnsi="Times New Roman"/>
          <w:color w:val="212121"/>
          <w:sz w:val="24"/>
          <w:szCs w:val="24"/>
          <w:shd w:val="clear" w:color="auto" w:fill="FFFFFF"/>
        </w:rPr>
        <w:t xml:space="preserve"> </w:t>
      </w:r>
      <w:proofErr w:type="spellStart"/>
      <w:r w:rsidRPr="002D1803">
        <w:rPr>
          <w:rFonts w:ascii="Times New Roman" w:hAnsi="Times New Roman"/>
          <w:color w:val="212121"/>
          <w:sz w:val="24"/>
          <w:szCs w:val="24"/>
          <w:shd w:val="clear" w:color="auto" w:fill="FFFFFF"/>
        </w:rPr>
        <w:t>Nix</w:t>
      </w:r>
      <w:proofErr w:type="spellEnd"/>
      <w:r w:rsidRPr="002D1803">
        <w:rPr>
          <w:rFonts w:ascii="Times New Roman" w:hAnsi="Times New Roman"/>
          <w:color w:val="212121"/>
          <w:sz w:val="24"/>
          <w:szCs w:val="24"/>
          <w:shd w:val="clear" w:color="auto" w:fill="FFFFFF"/>
        </w:rPr>
        <w:t xml:space="preserve"> P, </w:t>
      </w:r>
      <w:proofErr w:type="spellStart"/>
      <w:r w:rsidRPr="002D1803">
        <w:rPr>
          <w:rFonts w:ascii="Times New Roman" w:hAnsi="Times New Roman"/>
          <w:color w:val="212121"/>
          <w:sz w:val="24"/>
          <w:szCs w:val="24"/>
          <w:shd w:val="clear" w:color="auto" w:fill="FFFFFF"/>
        </w:rPr>
        <w:t>Nicolaides</w:t>
      </w:r>
      <w:proofErr w:type="spellEnd"/>
      <w:r w:rsidRPr="002D1803">
        <w:rPr>
          <w:rFonts w:ascii="Times New Roman" w:hAnsi="Times New Roman"/>
          <w:color w:val="212121"/>
          <w:sz w:val="24"/>
          <w:szCs w:val="24"/>
          <w:shd w:val="clear" w:color="auto" w:fill="FFFFFF"/>
        </w:rPr>
        <w:t xml:space="preserve"> A, </w:t>
      </w:r>
      <w:proofErr w:type="spellStart"/>
      <w:r w:rsidRPr="002D1803">
        <w:rPr>
          <w:rFonts w:ascii="Times New Roman" w:hAnsi="Times New Roman"/>
          <w:color w:val="212121"/>
          <w:sz w:val="24"/>
          <w:szCs w:val="24"/>
          <w:shd w:val="clear" w:color="auto" w:fill="FFFFFF"/>
        </w:rPr>
        <w:t>Coatesworth</w:t>
      </w:r>
      <w:proofErr w:type="spellEnd"/>
      <w:r w:rsidRPr="002D1803">
        <w:rPr>
          <w:rFonts w:ascii="Times New Roman" w:hAnsi="Times New Roman"/>
          <w:color w:val="212121"/>
          <w:sz w:val="24"/>
          <w:szCs w:val="24"/>
          <w:shd w:val="clear" w:color="auto" w:fill="FFFFFF"/>
        </w:rPr>
        <w:t xml:space="preserve"> AP. </w:t>
      </w:r>
      <w:proofErr w:type="spellStart"/>
      <w:r w:rsidRPr="002D1803">
        <w:rPr>
          <w:rFonts w:ascii="Times New Roman" w:hAnsi="Times New Roman"/>
          <w:color w:val="212121"/>
          <w:sz w:val="24"/>
          <w:szCs w:val="24"/>
          <w:shd w:val="clear" w:color="auto" w:fill="FFFFFF"/>
        </w:rPr>
        <w:t>Thyroid</w:t>
      </w:r>
      <w:proofErr w:type="spellEnd"/>
      <w:r w:rsidRPr="002D1803">
        <w:rPr>
          <w:rFonts w:ascii="Times New Roman" w:hAnsi="Times New Roman"/>
          <w:color w:val="212121"/>
          <w:sz w:val="24"/>
          <w:szCs w:val="24"/>
          <w:shd w:val="clear" w:color="auto" w:fill="FFFFFF"/>
        </w:rPr>
        <w:t xml:space="preserve"> </w:t>
      </w:r>
      <w:proofErr w:type="spellStart"/>
      <w:r w:rsidRPr="002D1803">
        <w:rPr>
          <w:rFonts w:ascii="Times New Roman" w:hAnsi="Times New Roman"/>
          <w:color w:val="212121"/>
          <w:sz w:val="24"/>
          <w:szCs w:val="24"/>
          <w:shd w:val="clear" w:color="auto" w:fill="FFFFFF"/>
        </w:rPr>
        <w:t>cancer</w:t>
      </w:r>
      <w:proofErr w:type="spellEnd"/>
      <w:r w:rsidRPr="002D1803">
        <w:rPr>
          <w:rFonts w:ascii="Times New Roman" w:hAnsi="Times New Roman"/>
          <w:color w:val="212121"/>
          <w:sz w:val="24"/>
          <w:szCs w:val="24"/>
          <w:shd w:val="clear" w:color="auto" w:fill="FFFFFF"/>
        </w:rPr>
        <w:t xml:space="preserve"> </w:t>
      </w:r>
      <w:proofErr w:type="spellStart"/>
      <w:r w:rsidRPr="002D1803">
        <w:rPr>
          <w:rFonts w:ascii="Times New Roman" w:hAnsi="Times New Roman"/>
          <w:color w:val="212121"/>
          <w:sz w:val="24"/>
          <w:szCs w:val="24"/>
          <w:shd w:val="clear" w:color="auto" w:fill="FFFFFF"/>
        </w:rPr>
        <w:t>review</w:t>
      </w:r>
      <w:proofErr w:type="spellEnd"/>
      <w:r w:rsidRPr="002D1803">
        <w:rPr>
          <w:rFonts w:ascii="Times New Roman" w:hAnsi="Times New Roman"/>
          <w:color w:val="212121"/>
          <w:sz w:val="24"/>
          <w:szCs w:val="24"/>
          <w:shd w:val="clear" w:color="auto" w:fill="FFFFFF"/>
        </w:rPr>
        <w:t xml:space="preserve"> 2: </w:t>
      </w:r>
      <w:proofErr w:type="spellStart"/>
      <w:r w:rsidRPr="002D1803">
        <w:rPr>
          <w:rFonts w:ascii="Times New Roman" w:hAnsi="Times New Roman"/>
          <w:color w:val="212121"/>
          <w:sz w:val="24"/>
          <w:szCs w:val="24"/>
          <w:shd w:val="clear" w:color="auto" w:fill="FFFFFF"/>
        </w:rPr>
        <w:t>management</w:t>
      </w:r>
      <w:proofErr w:type="spellEnd"/>
      <w:r w:rsidRPr="002D1803">
        <w:rPr>
          <w:rFonts w:ascii="Times New Roman" w:hAnsi="Times New Roman"/>
          <w:color w:val="212121"/>
          <w:sz w:val="24"/>
          <w:szCs w:val="24"/>
          <w:shd w:val="clear" w:color="auto" w:fill="FFFFFF"/>
        </w:rPr>
        <w:t xml:space="preserve"> of </w:t>
      </w:r>
      <w:proofErr w:type="spellStart"/>
      <w:r w:rsidRPr="002D1803">
        <w:rPr>
          <w:rFonts w:ascii="Times New Roman" w:hAnsi="Times New Roman"/>
          <w:color w:val="212121"/>
          <w:sz w:val="24"/>
          <w:szCs w:val="24"/>
          <w:shd w:val="clear" w:color="auto" w:fill="FFFFFF"/>
        </w:rPr>
        <w:t>differentiated</w:t>
      </w:r>
      <w:proofErr w:type="spellEnd"/>
      <w:r w:rsidRPr="002D1803">
        <w:rPr>
          <w:rFonts w:ascii="Times New Roman" w:hAnsi="Times New Roman"/>
          <w:color w:val="212121"/>
          <w:sz w:val="24"/>
          <w:szCs w:val="24"/>
          <w:shd w:val="clear" w:color="auto" w:fill="FFFFFF"/>
        </w:rPr>
        <w:t xml:space="preserve"> </w:t>
      </w:r>
      <w:proofErr w:type="spellStart"/>
      <w:r w:rsidRPr="002D1803">
        <w:rPr>
          <w:rFonts w:ascii="Times New Roman" w:hAnsi="Times New Roman"/>
          <w:color w:val="212121"/>
          <w:sz w:val="24"/>
          <w:szCs w:val="24"/>
          <w:shd w:val="clear" w:color="auto" w:fill="FFFFFF"/>
        </w:rPr>
        <w:t>thyroid</w:t>
      </w:r>
      <w:proofErr w:type="spellEnd"/>
      <w:r w:rsidRPr="002D1803">
        <w:rPr>
          <w:rFonts w:ascii="Times New Roman" w:hAnsi="Times New Roman"/>
          <w:color w:val="212121"/>
          <w:sz w:val="24"/>
          <w:szCs w:val="24"/>
          <w:shd w:val="clear" w:color="auto" w:fill="FFFFFF"/>
        </w:rPr>
        <w:t xml:space="preserve"> </w:t>
      </w:r>
      <w:proofErr w:type="spellStart"/>
      <w:r w:rsidRPr="002D1803">
        <w:rPr>
          <w:rFonts w:ascii="Times New Roman" w:hAnsi="Times New Roman"/>
          <w:color w:val="212121"/>
          <w:sz w:val="24"/>
          <w:szCs w:val="24"/>
          <w:shd w:val="clear" w:color="auto" w:fill="FFFFFF"/>
        </w:rPr>
        <w:t>cancers</w:t>
      </w:r>
      <w:proofErr w:type="spellEnd"/>
      <w:r w:rsidRPr="002D1803">
        <w:rPr>
          <w:rFonts w:ascii="Times New Roman" w:hAnsi="Times New Roman"/>
          <w:color w:val="212121"/>
          <w:sz w:val="24"/>
          <w:szCs w:val="24"/>
          <w:shd w:val="clear" w:color="auto" w:fill="FFFFFF"/>
        </w:rPr>
        <w:t xml:space="preserve">. </w:t>
      </w:r>
      <w:proofErr w:type="spellStart"/>
      <w:r w:rsidRPr="002D1803">
        <w:rPr>
          <w:rFonts w:ascii="Times New Roman" w:hAnsi="Times New Roman"/>
          <w:color w:val="212121"/>
          <w:sz w:val="24"/>
          <w:szCs w:val="24"/>
          <w:shd w:val="clear" w:color="auto" w:fill="FFFFFF"/>
        </w:rPr>
        <w:t>Int</w:t>
      </w:r>
      <w:proofErr w:type="spellEnd"/>
      <w:r w:rsidRPr="002D1803">
        <w:rPr>
          <w:rFonts w:ascii="Times New Roman" w:hAnsi="Times New Roman"/>
          <w:color w:val="212121"/>
          <w:sz w:val="24"/>
          <w:szCs w:val="24"/>
          <w:shd w:val="clear" w:color="auto" w:fill="FFFFFF"/>
        </w:rPr>
        <w:t xml:space="preserve"> J </w:t>
      </w:r>
      <w:proofErr w:type="spellStart"/>
      <w:r w:rsidRPr="002D1803">
        <w:rPr>
          <w:rFonts w:ascii="Times New Roman" w:hAnsi="Times New Roman"/>
          <w:color w:val="212121"/>
          <w:sz w:val="24"/>
          <w:szCs w:val="24"/>
          <w:shd w:val="clear" w:color="auto" w:fill="FFFFFF"/>
        </w:rPr>
        <w:t>Clin</w:t>
      </w:r>
      <w:proofErr w:type="spellEnd"/>
      <w:r w:rsidRPr="002D1803">
        <w:rPr>
          <w:rFonts w:ascii="Times New Roman" w:hAnsi="Times New Roman"/>
          <w:color w:val="212121"/>
          <w:sz w:val="24"/>
          <w:szCs w:val="24"/>
          <w:shd w:val="clear" w:color="auto" w:fill="FFFFFF"/>
        </w:rPr>
        <w:t xml:space="preserve"> </w:t>
      </w:r>
      <w:proofErr w:type="spellStart"/>
      <w:r w:rsidRPr="002D1803">
        <w:rPr>
          <w:rFonts w:ascii="Times New Roman" w:hAnsi="Times New Roman"/>
          <w:color w:val="212121"/>
          <w:sz w:val="24"/>
          <w:szCs w:val="24"/>
          <w:shd w:val="clear" w:color="auto" w:fill="FFFFFF"/>
        </w:rPr>
        <w:t>Pract</w:t>
      </w:r>
      <w:proofErr w:type="spellEnd"/>
      <w:r w:rsidRPr="002D1803">
        <w:rPr>
          <w:rFonts w:ascii="Times New Roman" w:hAnsi="Times New Roman"/>
          <w:color w:val="212121"/>
          <w:sz w:val="24"/>
          <w:szCs w:val="24"/>
          <w:shd w:val="clear" w:color="auto" w:fill="FFFFFF"/>
        </w:rPr>
        <w:t>. 2005;59(12):1459-63.</w:t>
      </w:r>
    </w:p>
    <w:p w:rsidR="00D17425" w:rsidRPr="002D1803" w:rsidRDefault="00D17425" w:rsidP="00D17425">
      <w:pPr>
        <w:spacing w:line="276" w:lineRule="auto"/>
        <w:jc w:val="both"/>
        <w:rPr>
          <w:rFonts w:ascii="Times New Roman" w:hAnsi="Times New Roman"/>
          <w:sz w:val="24"/>
          <w:szCs w:val="24"/>
          <w:lang w:val="en-US"/>
        </w:rPr>
      </w:pPr>
      <w:r>
        <w:rPr>
          <w:rFonts w:ascii="Times New Roman" w:hAnsi="Times New Roman"/>
          <w:sz w:val="24"/>
          <w:szCs w:val="24"/>
          <w:lang w:val="en-US"/>
        </w:rPr>
        <w:t>[16]</w:t>
      </w:r>
      <w:r w:rsidRPr="002D1803">
        <w:rPr>
          <w:rFonts w:ascii="Times New Roman" w:hAnsi="Times New Roman"/>
          <w:sz w:val="24"/>
          <w:szCs w:val="24"/>
          <w:lang w:val="en-US"/>
        </w:rPr>
        <w:t xml:space="preserve"> </w:t>
      </w:r>
      <w:r w:rsidRPr="002D1803">
        <w:rPr>
          <w:rFonts w:ascii="Times New Roman" w:hAnsi="Times New Roman"/>
          <w:noProof/>
          <w:sz w:val="24"/>
          <w:szCs w:val="24"/>
          <w:lang w:val="en-US"/>
        </w:rPr>
        <w:t>Mansour A, Mohammed MA, Anwar R, Elzafrany M, Omar NM.</w:t>
      </w:r>
      <w:r w:rsidRPr="002D1803">
        <w:rPr>
          <w:rFonts w:ascii="Times New Roman" w:hAnsi="Times New Roman"/>
          <w:sz w:val="24"/>
          <w:szCs w:val="24"/>
          <w:lang w:val="en-US"/>
        </w:rPr>
        <w:t xml:space="preserve"> </w:t>
      </w:r>
      <w:r w:rsidRPr="002D1803">
        <w:rPr>
          <w:rFonts w:ascii="Times New Roman" w:hAnsi="Times New Roman"/>
          <w:noProof/>
          <w:sz w:val="24"/>
          <w:szCs w:val="24"/>
          <w:lang w:val="en-US"/>
        </w:rPr>
        <w:t>AB0 blood group and risk of malignancies in Egyptians.</w:t>
      </w:r>
      <w:r w:rsidRPr="002D1803">
        <w:rPr>
          <w:rFonts w:ascii="Times New Roman" w:hAnsi="Times New Roman"/>
          <w:sz w:val="24"/>
          <w:szCs w:val="24"/>
          <w:lang w:val="en-US"/>
        </w:rPr>
        <w:t xml:space="preserve"> </w:t>
      </w:r>
      <w:r w:rsidRPr="002D1803">
        <w:rPr>
          <w:rFonts w:ascii="Times New Roman" w:hAnsi="Times New Roman"/>
          <w:noProof/>
          <w:sz w:val="24"/>
          <w:szCs w:val="24"/>
          <w:lang w:val="en-US"/>
        </w:rPr>
        <w:t>Int J Cancer Res 2014;10(2):81−95.</w:t>
      </w:r>
    </w:p>
    <w:p w:rsidR="00D17425" w:rsidRPr="002D1803" w:rsidRDefault="00D17425" w:rsidP="00D17425">
      <w:pPr>
        <w:spacing w:line="276" w:lineRule="auto"/>
        <w:jc w:val="both"/>
        <w:rPr>
          <w:rFonts w:ascii="Times New Roman" w:hAnsi="Times New Roman"/>
          <w:color w:val="303030"/>
          <w:sz w:val="24"/>
          <w:szCs w:val="24"/>
          <w:shd w:val="clear" w:color="auto" w:fill="FFFFFF"/>
          <w:lang w:val="en-US"/>
        </w:rPr>
      </w:pPr>
      <w:r>
        <w:rPr>
          <w:rFonts w:ascii="Times New Roman" w:hAnsi="Times New Roman"/>
          <w:color w:val="212121"/>
          <w:sz w:val="24"/>
          <w:szCs w:val="24"/>
          <w:shd w:val="clear" w:color="auto" w:fill="FFFFFF"/>
          <w:lang w:val="en-US"/>
        </w:rPr>
        <w:t>[17]</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Huang JY, Wang R, Gao YT, Yuan JM.</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ABO blood type and the risk of cancer - Findings from the Shanghai Cohort Study. </w:t>
      </w:r>
      <w:r w:rsidRPr="002D1803">
        <w:rPr>
          <w:rFonts w:ascii="Times New Roman" w:hAnsi="Times New Roman"/>
          <w:i/>
          <w:noProof/>
          <w:color w:val="303030"/>
          <w:sz w:val="24"/>
          <w:szCs w:val="24"/>
          <w:shd w:val="clear" w:color="auto" w:fill="FFFFFF"/>
          <w:lang w:val="en-US"/>
        </w:rPr>
        <w:t>PLoS One</w:t>
      </w:r>
      <w:r w:rsidRPr="002D1803">
        <w:rPr>
          <w:rFonts w:ascii="Times New Roman" w:hAnsi="Times New Roman"/>
          <w:noProof/>
          <w:color w:val="303030"/>
          <w:sz w:val="24"/>
          <w:szCs w:val="24"/>
          <w:shd w:val="clear" w:color="auto" w:fill="FFFFFF"/>
          <w:lang w:val="en-US"/>
        </w:rPr>
        <w:t>.</w:t>
      </w:r>
      <w:r w:rsidRPr="002D1803">
        <w:rPr>
          <w:rFonts w:ascii="Times New Roman" w:hAnsi="Times New Roman"/>
          <w:color w:val="303030"/>
          <w:sz w:val="24"/>
          <w:szCs w:val="24"/>
          <w:shd w:val="clear" w:color="auto" w:fill="FFFFFF"/>
          <w:lang w:val="en-US"/>
        </w:rPr>
        <w:t xml:space="preserve"> </w:t>
      </w:r>
      <w:r w:rsidRPr="002D1803">
        <w:rPr>
          <w:rFonts w:ascii="Times New Roman" w:hAnsi="Times New Roman"/>
          <w:noProof/>
          <w:color w:val="303030"/>
          <w:sz w:val="24"/>
          <w:szCs w:val="24"/>
          <w:shd w:val="clear" w:color="auto" w:fill="FFFFFF"/>
          <w:lang w:val="en-US"/>
        </w:rPr>
        <w:t>2017;12(9):e0184295.</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212121"/>
          <w:sz w:val="24"/>
          <w:szCs w:val="24"/>
          <w:shd w:val="clear" w:color="auto" w:fill="FFFFFF"/>
          <w:lang w:val="en-US"/>
        </w:rPr>
        <w:t>[18]</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Kumar S, Modak PK, Ali SH, Barpanda SK, Gusain VS, Roy R. A retrospective study:</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ABO and Rh phenotype blood group distribution among blood donors in H.N.B. Base Hospital, Srinagar, Uttarakhand, India.</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J Family Med Prim Care.</w:t>
      </w:r>
      <w:r w:rsidRPr="002D1803">
        <w:rPr>
          <w:rFonts w:ascii="Times New Roman" w:hAnsi="Times New Roman"/>
          <w:color w:val="212121"/>
          <w:sz w:val="24"/>
          <w:szCs w:val="24"/>
          <w:shd w:val="clear" w:color="auto" w:fill="FFFFFF"/>
          <w:lang w:val="en-US"/>
        </w:rPr>
        <w:t xml:space="preserve"> 2018</w:t>
      </w:r>
      <w:proofErr w:type="gramStart"/>
      <w:r w:rsidRPr="002D1803">
        <w:rPr>
          <w:rFonts w:ascii="Times New Roman" w:hAnsi="Times New Roman"/>
          <w:color w:val="212121"/>
          <w:sz w:val="24"/>
          <w:szCs w:val="24"/>
          <w:shd w:val="clear" w:color="auto" w:fill="FFFFFF"/>
          <w:lang w:val="en-US"/>
        </w:rPr>
        <w:t>;7</w:t>
      </w:r>
      <w:proofErr w:type="gramEnd"/>
      <w:r w:rsidRPr="002D1803">
        <w:rPr>
          <w:rFonts w:ascii="Times New Roman" w:hAnsi="Times New Roman"/>
          <w:color w:val="212121"/>
          <w:sz w:val="24"/>
          <w:szCs w:val="24"/>
          <w:shd w:val="clear" w:color="auto" w:fill="FFFFFF"/>
          <w:lang w:val="en-US"/>
        </w:rPr>
        <w:t>(1):34-8. </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212121"/>
          <w:sz w:val="24"/>
          <w:szCs w:val="24"/>
          <w:shd w:val="clear" w:color="auto" w:fill="FFFFFF"/>
          <w:lang w:val="en-US"/>
        </w:rPr>
        <w:t>[</w:t>
      </w:r>
      <w:r w:rsidRPr="002D1803">
        <w:rPr>
          <w:rFonts w:ascii="Times New Roman" w:hAnsi="Times New Roman"/>
          <w:color w:val="212121"/>
          <w:sz w:val="24"/>
          <w:szCs w:val="24"/>
          <w:shd w:val="clear" w:color="auto" w:fill="FFFFFF"/>
          <w:lang w:val="en-US"/>
        </w:rPr>
        <w:t>19</w:t>
      </w:r>
      <w:r>
        <w:rPr>
          <w:rFonts w:ascii="Times New Roman" w:hAnsi="Times New Roman"/>
          <w:color w:val="212121"/>
          <w:sz w:val="24"/>
          <w:szCs w:val="24"/>
          <w:shd w:val="clear" w:color="auto" w:fill="FFFFFF"/>
          <w:lang w:val="en-US"/>
        </w:rPr>
        <w:t>]</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Ito N, Yokota M, Nagaike C, Morimura Y, Hatake K, Tanaka O, Matsunaga T. Simultaneous expression of keratan sulphate epitope (a sulphated poly-N-acetyllactosamine) and blood group ABH antigens in papillary carcinomas of the human thyroid gland.</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Histochem J. 1996;28(9):613-23. </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212121"/>
          <w:sz w:val="24"/>
          <w:szCs w:val="24"/>
          <w:shd w:val="clear" w:color="auto" w:fill="FFFFFF"/>
          <w:lang w:val="en-US"/>
        </w:rPr>
        <w:t>[</w:t>
      </w:r>
      <w:r w:rsidRPr="002D1803">
        <w:rPr>
          <w:rFonts w:ascii="Times New Roman" w:hAnsi="Times New Roman"/>
          <w:color w:val="212121"/>
          <w:sz w:val="24"/>
          <w:szCs w:val="24"/>
          <w:shd w:val="clear" w:color="auto" w:fill="FFFFFF"/>
          <w:lang w:val="en-US"/>
        </w:rPr>
        <w:t>20</w:t>
      </w:r>
      <w:r>
        <w:rPr>
          <w:rFonts w:ascii="Times New Roman" w:hAnsi="Times New Roman"/>
          <w:color w:val="212121"/>
          <w:sz w:val="24"/>
          <w:szCs w:val="24"/>
          <w:shd w:val="clear" w:color="auto" w:fill="FFFFFF"/>
          <w:lang w:val="en-US"/>
        </w:rPr>
        <w:t>]</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González-Cámpora R, García-Sanatana JA, Jordà i Heras MM, Salaverri CO, Vázquez-Ramírez FJ, Argueta-Manzano OE, Galera-Davidson H. Blood group antigens in differentiated thyroid neoplasms.</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Arch Pathol Lab Med.</w:t>
      </w:r>
      <w:r w:rsidRPr="002D1803">
        <w:rPr>
          <w:rFonts w:ascii="Times New Roman" w:hAnsi="Times New Roman"/>
          <w:color w:val="212121"/>
          <w:sz w:val="24"/>
          <w:szCs w:val="24"/>
          <w:shd w:val="clear" w:color="auto" w:fill="FFFFFF"/>
          <w:lang w:val="en-US"/>
        </w:rPr>
        <w:t xml:space="preserve"> 1998</w:t>
      </w:r>
      <w:proofErr w:type="gramStart"/>
      <w:r w:rsidRPr="002D1803">
        <w:rPr>
          <w:rFonts w:ascii="Times New Roman" w:hAnsi="Times New Roman"/>
          <w:color w:val="212121"/>
          <w:sz w:val="24"/>
          <w:szCs w:val="24"/>
          <w:shd w:val="clear" w:color="auto" w:fill="FFFFFF"/>
          <w:lang w:val="en-US"/>
        </w:rPr>
        <w:t>;122</w:t>
      </w:r>
      <w:proofErr w:type="gramEnd"/>
      <w:r w:rsidRPr="002D1803">
        <w:rPr>
          <w:rFonts w:ascii="Times New Roman" w:hAnsi="Times New Roman"/>
          <w:color w:val="212121"/>
          <w:sz w:val="24"/>
          <w:szCs w:val="24"/>
          <w:shd w:val="clear" w:color="auto" w:fill="FFFFFF"/>
          <w:lang w:val="en-US"/>
        </w:rPr>
        <w:t>(11):957-65. </w:t>
      </w:r>
    </w:p>
    <w:p w:rsidR="00D17425" w:rsidRPr="002D1803" w:rsidRDefault="00D17425" w:rsidP="00D17425">
      <w:pPr>
        <w:spacing w:line="276" w:lineRule="auto"/>
        <w:jc w:val="both"/>
        <w:rPr>
          <w:rFonts w:ascii="Times New Roman" w:hAnsi="Times New Roman"/>
          <w:color w:val="212121"/>
          <w:sz w:val="24"/>
          <w:szCs w:val="24"/>
          <w:shd w:val="clear" w:color="auto" w:fill="FFFFFF"/>
          <w:lang w:val="en-US"/>
        </w:rPr>
      </w:pPr>
      <w:r>
        <w:rPr>
          <w:rFonts w:ascii="Times New Roman" w:hAnsi="Times New Roman"/>
          <w:color w:val="212121"/>
          <w:sz w:val="24"/>
          <w:szCs w:val="24"/>
          <w:shd w:val="clear" w:color="auto" w:fill="FFFFFF"/>
          <w:lang w:val="en-US"/>
        </w:rPr>
        <w:t>[</w:t>
      </w:r>
      <w:r w:rsidRPr="002D1803">
        <w:rPr>
          <w:rFonts w:ascii="Times New Roman" w:hAnsi="Times New Roman"/>
          <w:color w:val="212121"/>
          <w:sz w:val="24"/>
          <w:szCs w:val="24"/>
          <w:shd w:val="clear" w:color="auto" w:fill="FFFFFF"/>
          <w:lang w:val="en-US"/>
        </w:rPr>
        <w:t>21</w:t>
      </w:r>
      <w:r>
        <w:rPr>
          <w:rFonts w:ascii="Times New Roman" w:hAnsi="Times New Roman"/>
          <w:color w:val="212121"/>
          <w:sz w:val="24"/>
          <w:szCs w:val="24"/>
          <w:shd w:val="clear" w:color="auto" w:fill="FFFFFF"/>
          <w:lang w:val="en-US"/>
        </w:rPr>
        <w:t>]</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Yokota M, Ito N, Hirota T, Yane K, Tanaka O, Miyahara H, Matsunaga T. Histochemical differences of the lectin affinities of backbone polylactosamine structures carrying the ABO blood group antigens in papillary carcinoma and other types of thyroid neoplasm.</w:t>
      </w:r>
      <w:r w:rsidRPr="002D1803">
        <w:rPr>
          <w:rFonts w:ascii="Times New Roman" w:hAnsi="Times New Roman"/>
          <w:color w:val="212121"/>
          <w:sz w:val="24"/>
          <w:szCs w:val="24"/>
          <w:shd w:val="clear" w:color="auto" w:fill="FFFFFF"/>
          <w:lang w:val="en-US"/>
        </w:rPr>
        <w:t xml:space="preserve"> </w:t>
      </w:r>
      <w:r w:rsidRPr="002D1803">
        <w:rPr>
          <w:rFonts w:ascii="Times New Roman" w:hAnsi="Times New Roman"/>
          <w:noProof/>
          <w:color w:val="212121"/>
          <w:sz w:val="24"/>
          <w:szCs w:val="24"/>
          <w:shd w:val="clear" w:color="auto" w:fill="FFFFFF"/>
          <w:lang w:val="en-US"/>
        </w:rPr>
        <w:t>Histochem J. 1995;27(2):139-47. </w:t>
      </w:r>
    </w:p>
    <w:p w:rsidR="00D17425" w:rsidRPr="002D1803" w:rsidRDefault="00D17425" w:rsidP="00D17425">
      <w:pPr>
        <w:spacing w:line="276" w:lineRule="auto"/>
        <w:jc w:val="both"/>
        <w:rPr>
          <w:rFonts w:ascii="Times New Roman" w:hAnsi="Times New Roman"/>
          <w:sz w:val="24"/>
          <w:szCs w:val="24"/>
          <w:lang w:val="en-US"/>
        </w:rPr>
      </w:pPr>
      <w:r>
        <w:rPr>
          <w:rFonts w:ascii="Times New Roman" w:hAnsi="Times New Roman"/>
          <w:color w:val="212121"/>
          <w:sz w:val="24"/>
          <w:szCs w:val="24"/>
          <w:shd w:val="clear" w:color="auto" w:fill="FFFFFF"/>
          <w:lang w:val="en-US"/>
        </w:rPr>
        <w:t>[</w:t>
      </w:r>
      <w:r w:rsidRPr="002D1803">
        <w:rPr>
          <w:rFonts w:ascii="Times New Roman" w:hAnsi="Times New Roman"/>
          <w:color w:val="212121"/>
          <w:sz w:val="24"/>
          <w:szCs w:val="24"/>
          <w:shd w:val="clear" w:color="auto" w:fill="FFFFFF"/>
          <w:lang w:val="en-US"/>
        </w:rPr>
        <w:t>22</w:t>
      </w:r>
      <w:r>
        <w:rPr>
          <w:rFonts w:ascii="Times New Roman" w:hAnsi="Times New Roman"/>
          <w:color w:val="212121"/>
          <w:sz w:val="24"/>
          <w:szCs w:val="24"/>
          <w:shd w:val="clear" w:color="auto" w:fill="FFFFFF"/>
          <w:lang w:val="en-US"/>
        </w:rPr>
        <w:t>]</w:t>
      </w:r>
      <w:r w:rsidRPr="002D1803">
        <w:rPr>
          <w:rFonts w:ascii="Times New Roman" w:hAnsi="Times New Roman"/>
          <w:sz w:val="24"/>
          <w:szCs w:val="24"/>
          <w:lang w:val="en-US"/>
        </w:rPr>
        <w:t xml:space="preserve"> </w:t>
      </w:r>
      <w:r w:rsidRPr="002D1803">
        <w:rPr>
          <w:rFonts w:ascii="Times New Roman" w:hAnsi="Times New Roman"/>
          <w:noProof/>
          <w:sz w:val="24"/>
          <w:szCs w:val="24"/>
          <w:lang w:val="en-US"/>
        </w:rPr>
        <w:t>Khoshsirat S, Peyvandi</w:t>
      </w:r>
      <w:r w:rsidRPr="002D1803">
        <w:rPr>
          <w:rFonts w:ascii="Times New Roman" w:hAnsi="Times New Roman"/>
          <w:noProof/>
          <w:color w:val="555555"/>
          <w:sz w:val="24"/>
          <w:szCs w:val="24"/>
          <w:shd w:val="clear" w:color="auto" w:fill="FFFFFF"/>
          <w:lang w:val="en-US"/>
        </w:rPr>
        <w:t xml:space="preserve"> AA, </w:t>
      </w:r>
      <w:r w:rsidRPr="002D1803">
        <w:rPr>
          <w:rFonts w:ascii="Times New Roman" w:hAnsi="Times New Roman"/>
          <w:noProof/>
          <w:sz w:val="24"/>
          <w:szCs w:val="24"/>
          <w:lang w:val="en-US"/>
        </w:rPr>
        <w:t>Oroei</w:t>
      </w:r>
      <w:r w:rsidRPr="002D1803">
        <w:rPr>
          <w:rFonts w:ascii="Times New Roman" w:hAnsi="Times New Roman"/>
          <w:noProof/>
          <w:color w:val="555555"/>
          <w:sz w:val="24"/>
          <w:szCs w:val="24"/>
          <w:shd w:val="clear" w:color="auto" w:fill="FFFFFF"/>
          <w:lang w:val="en-US"/>
        </w:rPr>
        <w:t xml:space="preserve"> M, </w:t>
      </w:r>
      <w:r w:rsidRPr="002D1803">
        <w:rPr>
          <w:rFonts w:ascii="Times New Roman" w:hAnsi="Times New Roman"/>
          <w:noProof/>
          <w:sz w:val="24"/>
          <w:szCs w:val="24"/>
          <w:lang w:val="en-US"/>
        </w:rPr>
        <w:t>Peyvandi</w:t>
      </w:r>
      <w:r w:rsidRPr="002D1803">
        <w:rPr>
          <w:rFonts w:ascii="Times New Roman" w:hAnsi="Times New Roman"/>
          <w:noProof/>
          <w:color w:val="555555"/>
          <w:sz w:val="24"/>
          <w:szCs w:val="24"/>
          <w:shd w:val="clear" w:color="auto" w:fill="FFFFFF"/>
          <w:lang w:val="en-US"/>
        </w:rPr>
        <w:t xml:space="preserve"> H, </w:t>
      </w:r>
      <w:r w:rsidRPr="002D1803">
        <w:rPr>
          <w:rFonts w:ascii="Times New Roman" w:hAnsi="Times New Roman"/>
          <w:noProof/>
          <w:sz w:val="24"/>
          <w:szCs w:val="24"/>
          <w:lang w:val="en-US"/>
        </w:rPr>
        <w:t>Rezaeifard</w:t>
      </w:r>
      <w:r w:rsidRPr="002D1803">
        <w:rPr>
          <w:rFonts w:ascii="Times New Roman" w:hAnsi="Times New Roman"/>
          <w:noProof/>
          <w:color w:val="555555"/>
          <w:sz w:val="24"/>
          <w:szCs w:val="24"/>
          <w:shd w:val="clear" w:color="auto" w:fill="FFFFFF"/>
          <w:lang w:val="en-US"/>
        </w:rPr>
        <w:t xml:space="preserve"> A. </w:t>
      </w:r>
      <w:r w:rsidRPr="002D1803">
        <w:rPr>
          <w:rFonts w:ascii="Times New Roman" w:hAnsi="Times New Roman"/>
          <w:noProof/>
          <w:color w:val="000000"/>
          <w:sz w:val="24"/>
          <w:szCs w:val="24"/>
          <w:shd w:val="clear" w:color="auto" w:fill="FFFFFF"/>
          <w:lang w:val="en-US"/>
        </w:rPr>
        <w:t>The Estimation of Thyroid Cancer Risk based on Type 2 Diabetes Mellitus and ABO Blood Group.</w:t>
      </w:r>
      <w:r w:rsidRPr="002D1803">
        <w:rPr>
          <w:rFonts w:ascii="Times New Roman" w:hAnsi="Times New Roman"/>
          <w:b/>
          <w:color w:val="000000"/>
          <w:sz w:val="24"/>
          <w:szCs w:val="24"/>
          <w:shd w:val="clear" w:color="auto" w:fill="FFFFFF"/>
          <w:lang w:val="en-US"/>
        </w:rPr>
        <w:t xml:space="preserve"> </w:t>
      </w:r>
      <w:r w:rsidRPr="002D1803">
        <w:rPr>
          <w:rFonts w:ascii="Times New Roman" w:hAnsi="Times New Roman"/>
          <w:noProof/>
          <w:sz w:val="24"/>
          <w:szCs w:val="24"/>
          <w:lang w:val="en-US"/>
        </w:rPr>
        <w:t>Turk J Oncol 2019;35(1):64–9.</w:t>
      </w:r>
    </w:p>
    <w:p w:rsidR="000769E5" w:rsidRDefault="00D17425">
      <w:bookmarkStart w:id="0" w:name="_GoBack"/>
      <w:bookmarkEnd w:id="0"/>
    </w:p>
    <w:sectPr w:rsidR="00076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EE"/>
    <w:rsid w:val="00511ABF"/>
    <w:rsid w:val="00671416"/>
    <w:rsid w:val="00D17425"/>
    <w:rsid w:val="00FD3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8D18A-93C1-4A60-B6AC-AF683373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25"/>
    <w:rPr>
      <w:rFonts w:ascii="Calibri" w:eastAsia="Times New Roman" w:hAnsi="Calibri" w:cs="Times New Roman"/>
      <w:snapToGrid w:val="0"/>
      <w:lang w:eastAsia="tr-TR"/>
    </w:rPr>
  </w:style>
  <w:style w:type="paragraph" w:styleId="Balk1">
    <w:name w:val="heading 1"/>
    <w:basedOn w:val="Normal"/>
    <w:link w:val="Balk1Char"/>
    <w:uiPriority w:val="9"/>
    <w:qFormat/>
    <w:rsid w:val="00D17425"/>
    <w:pPr>
      <w:spacing w:before="100" w:beforeAutospacing="1" w:after="100" w:afterAutospacing="1" w:line="240" w:lineRule="auto"/>
      <w:outlineLvl w:val="0"/>
    </w:pPr>
    <w:rPr>
      <w:rFonts w:ascii="Times New Roman" w:hAnsi="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17425"/>
    <w:rPr>
      <w:rFonts w:ascii="Times New Roman" w:eastAsia="Times New Roman" w:hAnsi="Times New Roman" w:cs="Times New Roman"/>
      <w:b/>
      <w:bCs/>
      <w:snapToGrid w:val="0"/>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2021-11-24T18:46:00Z</dcterms:created>
  <dcterms:modified xsi:type="dcterms:W3CDTF">2021-11-24T18:46:00Z</dcterms:modified>
</cp:coreProperties>
</file>