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Palatino Linotype" w:hAnsi="Palatino Linotype" w:cs="Times New Roman"/>
          <w:b/>
          <w:sz w:val="36"/>
          <w:szCs w:val="36"/>
          <w:shd w:val="clear" w:color="auto" w:fill="FFFFFF"/>
        </w:rPr>
      </w:pPr>
      <w:bookmarkStart w:id="0" w:name="_Hlk31978261"/>
      <w:bookmarkStart w:id="1" w:name="_Hlk15500644"/>
      <w:r>
        <w:rPr>
          <w:rFonts w:ascii="Palatino Linotype" w:hAnsi="Palatino Linotype" w:cs="Times New Roman"/>
          <w:b/>
          <w:sz w:val="36"/>
          <w:szCs w:val="36"/>
        </w:rPr>
        <w:t xml:space="preserve">Microbiological and Proximate Evaluation of </w:t>
      </w:r>
      <w:r>
        <w:rPr>
          <w:rFonts w:ascii="Palatino Linotype" w:hAnsi="Palatino Linotype" w:cs="Times New Roman"/>
          <w:b/>
          <w:i/>
          <w:sz w:val="36"/>
          <w:szCs w:val="36"/>
        </w:rPr>
        <w:t xml:space="preserve">Tagelus adansonii, </w:t>
      </w:r>
      <w:bookmarkStart w:id="2" w:name="_Hlk14699788"/>
      <w:r>
        <w:rPr>
          <w:rFonts w:ascii="Palatino Linotype" w:hAnsi="Palatino Linotype" w:cs="Times New Roman"/>
          <w:b/>
          <w:sz w:val="36"/>
          <w:szCs w:val="36"/>
          <w:shd w:val="clear" w:color="auto" w:fill="FFFFFF"/>
        </w:rPr>
        <w:t>Bosc, 1801</w:t>
      </w:r>
      <w:bookmarkEnd w:id="2"/>
      <w:r>
        <w:rPr>
          <w:rFonts w:ascii="Palatino Linotype" w:hAnsi="Palatino Linotype" w:cs="Times New Roman"/>
          <w:b/>
          <w:sz w:val="36"/>
          <w:szCs w:val="36"/>
          <w:shd w:val="clear" w:color="auto" w:fill="FFFFFF"/>
        </w:rPr>
        <w:t xml:space="preserve"> </w:t>
      </w:r>
      <w:r>
        <w:rPr>
          <w:rFonts w:ascii="Palatino Linotype" w:hAnsi="Palatino Linotype"/>
          <w:b/>
          <w:sz w:val="36"/>
          <w:szCs w:val="36"/>
        </w:rPr>
        <w:t>(Mollusca: Bivalvia, Solecurtidae)</w:t>
      </w:r>
      <w:r>
        <w:t xml:space="preserve"> </w:t>
      </w:r>
      <w:r>
        <w:rPr>
          <w:rFonts w:ascii="Palatino Linotype" w:hAnsi="Palatino Linotype" w:cs="Times New Roman"/>
          <w:b/>
          <w:sz w:val="36"/>
          <w:szCs w:val="36"/>
          <w:shd w:val="clear" w:color="auto" w:fill="FFFFFF"/>
        </w:rPr>
        <w:t>in</w:t>
      </w:r>
      <w:r>
        <w:rPr>
          <w:rFonts w:ascii="Palatino Linotype" w:hAnsi="Palatino Linotype"/>
          <w:b/>
          <w:sz w:val="36"/>
          <w:szCs w:val="36"/>
        </w:rPr>
        <w:t xml:space="preserve"> Mangrove Swamps of Iko Estuary, Southeast, Nigeria</w:t>
      </w:r>
    </w:p>
    <w:bookmarkEnd w:id="0"/>
    <w:bookmarkEnd w:id="1"/>
    <w:p>
      <w:pPr>
        <w:spacing w:after="0"/>
        <w:jc w:val="center"/>
        <w:rPr>
          <w:rFonts w:ascii="Palatino Linotype" w:hAnsi="Palatino Linotype" w:cs="Times New Roman"/>
          <w:b/>
          <w:sz w:val="28"/>
          <w:szCs w:val="28"/>
        </w:rPr>
      </w:pPr>
    </w:p>
    <w:p>
      <w:pPr>
        <w:spacing w:after="0" w:line="240" w:lineRule="auto"/>
        <w:jc w:val="both"/>
        <w:rPr>
          <w:rFonts w:ascii="Times New Roman" w:hAnsi="Times New Roman" w:cs="Times New Roman"/>
          <w:b/>
        </w:rPr>
      </w:pPr>
    </w:p>
    <w:p>
      <w:pPr>
        <w:spacing w:after="0" w:line="240" w:lineRule="auto"/>
        <w:jc w:val="both"/>
        <w:rPr>
          <w:rFonts w:ascii="Times New Roman" w:hAnsi="Times New Roman" w:cs="Times New Roman"/>
        </w:rPr>
      </w:pPr>
      <w:r>
        <w:rPr>
          <w:rFonts w:ascii="Times New Roman" w:hAnsi="Times New Roman" w:cs="Times New Roman"/>
          <w:b/>
        </w:rPr>
        <w:t xml:space="preserve">Abstract: </w:t>
      </w:r>
      <w:r>
        <w:rPr>
          <w:rFonts w:ascii="Times New Roman" w:hAnsi="Times New Roman" w:cs="Times New Roman"/>
          <w:i/>
        </w:rPr>
        <w:t xml:space="preserve">Tagelus adansonii </w:t>
      </w:r>
      <w:r>
        <w:rPr>
          <w:rFonts w:ascii="Times New Roman" w:hAnsi="Times New Roman" w:cs="Times New Roman"/>
          <w:iCs/>
        </w:rPr>
        <w:t xml:space="preserve">has </w:t>
      </w:r>
      <w:r>
        <w:rPr>
          <w:rFonts w:ascii="Times New Roman" w:hAnsi="Times New Roman" w:cs="Times New Roman"/>
          <w:bCs/>
        </w:rPr>
        <w:t>served as man’s food around the world from time immemorial.</w:t>
      </w:r>
      <w:r>
        <w:rPr>
          <w:rFonts w:ascii="Times New Roman" w:hAnsi="Times New Roman" w:cs="Times New Roman"/>
        </w:rPr>
        <w:t xml:space="preserve"> However, </w:t>
      </w:r>
      <w:r>
        <w:rPr>
          <w:rFonts w:ascii="Times New Roman" w:hAnsi="Times New Roman" w:cs="Times New Roman"/>
          <w:bCs/>
        </w:rPr>
        <w:t xml:space="preserve">the aquatic ecosystem in which they live is constantly polluted. Microbial and </w:t>
      </w:r>
      <w:r>
        <w:rPr>
          <w:rFonts w:ascii="Times New Roman" w:hAnsi="Times New Roman" w:cs="Times New Roman"/>
          <w:shd w:val="clear" w:color="auto" w:fill="FFFFFF"/>
        </w:rPr>
        <w:t>p</w:t>
      </w:r>
      <w:r>
        <w:rPr>
          <w:rFonts w:ascii="Times New Roman" w:hAnsi="Times New Roman" w:cs="Times New Roman"/>
        </w:rPr>
        <w:t xml:space="preserve">roximate compositions and energy value of </w:t>
      </w:r>
      <w:r>
        <w:rPr>
          <w:rFonts w:ascii="Times New Roman" w:hAnsi="Times New Roman" w:cs="Times New Roman"/>
          <w:i/>
        </w:rPr>
        <w:t xml:space="preserve">T. adansonii </w:t>
      </w:r>
      <w:r>
        <w:rPr>
          <w:rFonts w:ascii="Times New Roman" w:hAnsi="Times New Roman" w:cs="Times New Roman"/>
        </w:rPr>
        <w:t xml:space="preserve">were evaluated as indices for food safety and biomarker of pollution. Standard microbiological techniques and standard methods of AOAC were employed. Results showed that </w:t>
      </w:r>
      <w:r>
        <w:rPr>
          <w:rFonts w:ascii="Times New Roman" w:hAnsi="Times New Roman" w:cs="Times New Roman"/>
          <w:i/>
        </w:rPr>
        <w:t xml:space="preserve">Bacillus substilis, Micrococcus species, Proteus species, Klebsiella species, Staphylococcus aureus, Vibrio cholerea, Vibrio parahaemolyticus, Enterobacter sp, Escherichia coli, Bacillus cereus, </w:t>
      </w:r>
      <w:r>
        <w:rPr>
          <w:rFonts w:ascii="Times New Roman" w:hAnsi="Times New Roman" w:cs="Times New Roman"/>
        </w:rPr>
        <w:t xml:space="preserve">and </w:t>
      </w:r>
      <w:r>
        <w:rPr>
          <w:rFonts w:ascii="Times New Roman" w:hAnsi="Times New Roman" w:cs="Times New Roman"/>
          <w:i/>
          <w:iCs/>
        </w:rPr>
        <w:t>Chromatium</w:t>
      </w:r>
      <w:r>
        <w:rPr>
          <w:rFonts w:ascii="Times New Roman" w:hAnsi="Times New Roman" w:cs="Times New Roman"/>
        </w:rPr>
        <w:t xml:space="preserve"> </w:t>
      </w:r>
      <w:r>
        <w:rPr>
          <w:rFonts w:ascii="Times New Roman" w:hAnsi="Times New Roman" w:cs="Times New Roman"/>
          <w:i/>
          <w:iCs/>
        </w:rPr>
        <w:t xml:space="preserve">species </w:t>
      </w:r>
      <w:r>
        <w:rPr>
          <w:rFonts w:ascii="Times New Roman" w:hAnsi="Times New Roman" w:cs="Times New Roman"/>
        </w:rPr>
        <w:t xml:space="preserve">were the probable bacteria while </w:t>
      </w:r>
      <w:r>
        <w:rPr>
          <w:rFonts w:ascii="Times New Roman" w:hAnsi="Times New Roman" w:cs="Times New Roman"/>
          <w:i/>
        </w:rPr>
        <w:t>Rhizopus stolonifer</w:t>
      </w:r>
      <w:r>
        <w:rPr>
          <w:rFonts w:ascii="Times New Roman" w:hAnsi="Times New Roman" w:cs="Times New Roman"/>
        </w:rPr>
        <w:t xml:space="preserve">, </w:t>
      </w:r>
      <w:r>
        <w:rPr>
          <w:rFonts w:ascii="Times New Roman" w:hAnsi="Times New Roman" w:cs="Times New Roman"/>
          <w:i/>
        </w:rPr>
        <w:t xml:space="preserve">Aspergillus niger, Penicillium species. </w:t>
      </w:r>
      <w:r>
        <w:rPr>
          <w:rFonts w:ascii="Times New Roman" w:hAnsi="Times New Roman" w:cs="Times New Roman"/>
          <w:i/>
          <w:iCs/>
        </w:rPr>
        <w:t>Candida</w:t>
      </w:r>
      <w:r>
        <w:rPr>
          <w:rFonts w:ascii="Times New Roman" w:hAnsi="Times New Roman" w:cs="Times New Roman"/>
        </w:rPr>
        <w:t xml:space="preserve"> </w:t>
      </w:r>
      <w:r>
        <w:rPr>
          <w:rFonts w:ascii="Times New Roman" w:hAnsi="Times New Roman" w:cs="Times New Roman"/>
          <w:i/>
          <w:iCs/>
        </w:rPr>
        <w:t xml:space="preserve">tropicalis, Fusarium species. </w:t>
      </w:r>
      <w:r>
        <w:rPr>
          <w:rFonts w:ascii="Times New Roman" w:hAnsi="Times New Roman" w:cs="Times New Roman"/>
        </w:rPr>
        <w:t xml:space="preserve">and </w:t>
      </w:r>
      <w:r>
        <w:rPr>
          <w:rFonts w:ascii="Times New Roman" w:hAnsi="Times New Roman" w:cs="Times New Roman"/>
          <w:i/>
          <w:iCs/>
        </w:rPr>
        <w:t>Aspergillus flavus</w:t>
      </w:r>
      <w:r>
        <w:rPr>
          <w:rFonts w:ascii="Times New Roman" w:hAnsi="Times New Roman" w:cs="Times New Roman"/>
        </w:rPr>
        <w:t xml:space="preserve"> were the probable fungi isolated from the sample. Total Heterotrophic Bacterial Count (THBC), TVC, TCC, TSC and TFC in fresh sample were </w:t>
      </w:r>
      <w:bookmarkStart w:id="3" w:name="_Hlk31271699"/>
      <w:r>
        <w:rPr>
          <w:rFonts w:ascii="Times New Roman" w:hAnsi="Times New Roman" w:cs="Times New Roman"/>
        </w:rPr>
        <w:t>2.01±0.14 x 10</w:t>
      </w:r>
      <w:r>
        <w:rPr>
          <w:rFonts w:ascii="Times New Roman" w:hAnsi="Times New Roman" w:cs="Times New Roman"/>
          <w:vertAlign w:val="superscript"/>
        </w:rPr>
        <w:t>5</w:t>
      </w:r>
      <w:bookmarkEnd w:id="3"/>
      <w:r>
        <w:rPr>
          <w:rFonts w:ascii="Times New Roman" w:hAnsi="Times New Roman" w:cs="Times New Roman"/>
        </w:rPr>
        <w:t>, 2.77±0.27x10, 2.79±0.81x10, 6.08±0.21x10</w:t>
      </w:r>
      <w:r>
        <w:rPr>
          <w:rFonts w:ascii="Times New Roman" w:hAnsi="Times New Roman" w:cs="Times New Roman"/>
          <w:vertAlign w:val="superscript"/>
        </w:rPr>
        <w:t>2</w:t>
      </w:r>
      <w:r>
        <w:rPr>
          <w:rFonts w:ascii="Times New Roman" w:hAnsi="Times New Roman" w:cs="Times New Roman"/>
        </w:rPr>
        <w:t>, and 2.08±0.21x10</w:t>
      </w:r>
      <w:r>
        <w:rPr>
          <w:rFonts w:ascii="Times New Roman" w:hAnsi="Times New Roman" w:cs="Times New Roman"/>
          <w:vertAlign w:val="superscript"/>
        </w:rPr>
        <w:t>4</w:t>
      </w:r>
      <w:r>
        <w:rPr>
          <w:rFonts w:ascii="Times New Roman" w:hAnsi="Times New Roman" w:cs="Times New Roman"/>
          <w:b/>
          <w:lang w:val="en-GB"/>
        </w:rPr>
        <w:t xml:space="preserve"> </w:t>
      </w:r>
      <w:r>
        <w:rPr>
          <w:rFonts w:ascii="Times New Roman" w:hAnsi="Times New Roman" w:cs="Times New Roman"/>
          <w:bCs/>
          <w:lang w:val="en-GB"/>
        </w:rPr>
        <w:t>cfu g</w:t>
      </w:r>
      <w:r>
        <w:rPr>
          <w:rFonts w:ascii="Times New Roman" w:hAnsi="Times New Roman" w:cs="Times New Roman"/>
          <w:bCs/>
          <w:vertAlign w:val="superscript"/>
          <w:lang w:val="en-GB"/>
        </w:rPr>
        <w:t xml:space="preserve">-1 </w:t>
      </w:r>
      <w:r>
        <w:rPr>
          <w:rFonts w:ascii="Times New Roman" w:hAnsi="Times New Roman" w:cs="Times New Roman"/>
          <w:bCs/>
          <w:lang w:val="en-GB"/>
        </w:rPr>
        <w:t>respectively and concentrated mostly in the gut. T</w:t>
      </w:r>
      <w:r>
        <w:rPr>
          <w:rFonts w:ascii="Times New Roman" w:hAnsi="Times New Roman" w:cs="Times New Roman"/>
        </w:rPr>
        <w:t>he mean crude protein, moisture, carbohydrate, ash, lipid and crude fibre contents of the soft tissues were 60.92±2.38, 40.75±1.85, 26.58±2.91, 5.99±0.43, 5.56±0.51 and 4.13±0.10% respectively, while the energy or caloric value was 397.65±11.97. Proper monitoring and surveillance should be adopted by Government to check pollution of the aquatic environments and proper processing should be adopted before consumption for good public health.</w:t>
      </w:r>
    </w:p>
    <w:p>
      <w:pPr>
        <w:spacing w:after="0"/>
        <w:rPr>
          <w:rFonts w:ascii="Times New Roman" w:hAnsi="Times New Roman" w:cs="Times New Roman"/>
          <w:b/>
          <w:sz w:val="24"/>
          <w:szCs w:val="24"/>
        </w:rPr>
      </w:pPr>
    </w:p>
    <w:p>
      <w:pPr>
        <w:jc w:val="both"/>
        <w:rPr>
          <w:rFonts w:ascii="Times New Roman" w:hAnsi="Times New Roman" w:cs="Times New Roman"/>
        </w:rPr>
      </w:pPr>
      <w:r>
        <w:rPr>
          <w:rFonts w:ascii="Times New Roman" w:hAnsi="Times New Roman" w:cs="Times New Roman"/>
          <w:b/>
        </w:rPr>
        <w:t>Keywords</w:t>
      </w:r>
      <w:r>
        <w:rPr>
          <w:rFonts w:ascii="Times New Roman" w:hAnsi="Times New Roman" w:cs="Times New Roman"/>
        </w:rPr>
        <w:t>: Nutrition, health, energy, seafood, growth, clam</w:t>
      </w:r>
      <w:bookmarkStart w:id="4" w:name="_Hlk15505065"/>
    </w:p>
    <w:bookmarkEnd w:id="4"/>
    <w:p>
      <w:pPr>
        <w:jc w:val="both"/>
        <w:rPr>
          <w:rFonts w:ascii="Times New Roman" w:hAnsi="Times New Roman" w:cs="Times New Roman"/>
          <w:b/>
          <w:sz w:val="24"/>
          <w:szCs w:val="24"/>
        </w:rPr>
      </w:pPr>
      <w:r>
        <w:rPr>
          <w:rFonts w:ascii="Times New Roman" w:hAnsi="Times New Roman" w:cs="Times New Roman"/>
          <w:b/>
          <w:sz w:val="24"/>
          <w:szCs w:val="24"/>
        </w:rPr>
        <w:t xml:space="preserve">1. Introduction </w:t>
      </w:r>
    </w:p>
    <w:p>
      <w:pPr>
        <w:spacing w:after="0" w:line="480" w:lineRule="auto"/>
        <w:jc w:val="both"/>
        <w:rPr>
          <w:rFonts w:ascii="Times New Roman" w:hAnsi="Times New Roman" w:cs="Times New Roman"/>
          <w:shd w:val="clear" w:color="auto" w:fill="FFFFFF"/>
          <w:vertAlign w:val="superscript"/>
        </w:rPr>
      </w:pPr>
      <w:bookmarkStart w:id="5" w:name="_Hlk522062689"/>
      <w:bookmarkStart w:id="6" w:name="_Hlk522095047"/>
      <w:r>
        <w:rPr>
          <w:rFonts w:ascii="Times New Roman" w:hAnsi="Times New Roman" w:cs="Times New Roman"/>
        </w:rPr>
        <w:t xml:space="preserve">Shellfish and finfish are the most important sources of animal protein in the diet because of their good quality and quantity of protein </w:t>
      </w:r>
      <w:r>
        <w:rPr>
          <w:rFonts w:ascii="Times New Roman" w:hAnsi="Times New Roman" w:cs="Times New Roman"/>
          <w:highlight w:val="yellow"/>
          <w:vertAlign w:val="superscript"/>
        </w:rPr>
        <w:t>[1]</w:t>
      </w:r>
      <w:r>
        <w:rPr>
          <w:rFonts w:ascii="Times New Roman" w:hAnsi="Times New Roman" w:cs="Times New Roman"/>
          <w:highlight w:val="yellow"/>
        </w:rPr>
        <w:t>.</w:t>
      </w:r>
      <w:r>
        <w:rPr>
          <w:rFonts w:ascii="Times New Roman" w:hAnsi="Times New Roman" w:cs="Times New Roman"/>
        </w:rPr>
        <w:t xml:space="preserve"> Anthony </w:t>
      </w:r>
      <w:r>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highlight w:val="yellow"/>
          <w:vertAlign w:val="superscript"/>
        </w:rPr>
        <w:t>[2]</w:t>
      </w:r>
      <w:r>
        <w:rPr>
          <w:rFonts w:ascii="Times New Roman" w:hAnsi="Times New Roman" w:cs="Times New Roman"/>
          <w:highlight w:val="yellow"/>
        </w:rPr>
        <w:t>,</w:t>
      </w:r>
      <w:r>
        <w:rPr>
          <w:rFonts w:ascii="Times New Roman" w:hAnsi="Times New Roman" w:cs="Times New Roman"/>
        </w:rPr>
        <w:t xml:space="preserve"> reported that shellfishes contain crude protein and fat higher than 20 and less than 5 percent respectively. They are </w:t>
      </w:r>
      <w:r>
        <w:rPr>
          <w:rFonts w:ascii="Times New Roman" w:hAnsi="Times New Roman" w:cs="Times New Roman"/>
          <w:sz w:val="24"/>
          <w:szCs w:val="24"/>
          <w:shd w:val="clear" w:color="auto" w:fill="F9F9F9"/>
        </w:rPr>
        <w:t xml:space="preserve">relatively good sources of calcium, phosphorus, magnesium and potassium; </w:t>
      </w:r>
      <w:r>
        <w:rPr>
          <w:rFonts w:ascii="Times New Roman" w:hAnsi="Times New Roman" w:cs="Times New Roman"/>
        </w:rPr>
        <w:t xml:space="preserve">and </w:t>
      </w:r>
      <w:r>
        <w:rPr>
          <w:rFonts w:ascii="Times New Roman" w:hAnsi="Times New Roman" w:cs="Times New Roman"/>
          <w:shd w:val="clear" w:color="auto" w:fill="FFFFFF"/>
        </w:rPr>
        <w:t xml:space="preserve">are also a major source of income for coastal towns and villages </w:t>
      </w:r>
      <w:r>
        <w:rPr>
          <w:rFonts w:ascii="Times New Roman" w:hAnsi="Times New Roman" w:cs="Times New Roman"/>
          <w:highlight w:val="yellow"/>
          <w:shd w:val="clear" w:color="auto" w:fill="FFFFFF"/>
          <w:vertAlign w:val="superscript"/>
        </w:rPr>
        <w:t>[3]</w:t>
      </w:r>
      <w:r>
        <w:rPr>
          <w:rFonts w:ascii="Times New Roman" w:hAnsi="Times New Roman" w:cs="Times New Roman"/>
          <w:highlight w:val="yellow"/>
          <w:shd w:val="clear" w:color="auto" w:fill="FFFFFF"/>
        </w:rPr>
        <w:t>.</w:t>
      </w:r>
      <w:r>
        <w:rPr>
          <w:rFonts w:ascii="Times New Roman" w:hAnsi="Times New Roman" w:cs="Times New Roman"/>
          <w:shd w:val="clear" w:color="auto" w:fill="FFFFFF"/>
        </w:rPr>
        <w:t xml:space="preserve"> </w:t>
      </w:r>
      <w:bookmarkEnd w:id="5"/>
      <w:bookmarkEnd w:id="6"/>
      <w:r>
        <w:rPr>
          <w:rFonts w:ascii="Times New Roman" w:hAnsi="Times New Roman" w:cs="Times New Roman"/>
          <w:sz w:val="24"/>
          <w:szCs w:val="24"/>
          <w:shd w:val="clear" w:color="auto" w:fill="FFFFFF"/>
        </w:rPr>
        <w:t>Tagelus is a genus of marine bivalve molluscs belonging to the family Solecurtidae,</w:t>
      </w:r>
      <w:r>
        <w:rPr>
          <w:rFonts w:ascii="Arial" w:hAnsi="Arial" w:cs="Arial"/>
          <w:sz w:val="21"/>
          <w:szCs w:val="21"/>
          <w:shd w:val="clear" w:color="auto" w:fill="FFFFFF"/>
        </w:rPr>
        <w:t> </w:t>
      </w:r>
      <w:r>
        <w:rPr>
          <w:rFonts w:ascii="Times New Roman" w:hAnsi="Times New Roman" w:cs="Times New Roman"/>
          <w:sz w:val="24"/>
          <w:szCs w:val="24"/>
          <w:shd w:val="clear" w:color="auto" w:fill="FFFFFF"/>
        </w:rPr>
        <w:t>in the </w:t>
      </w:r>
      <w:r>
        <w:fldChar w:fldCharType="begin"/>
      </w:r>
      <w:r>
        <w:instrText xml:space="preserve"> HYPERLINK "https://en.wikipedia.org/wiki/Order_(biology)" \o "Order (biology)" </w:instrText>
      </w:r>
      <w:r>
        <w:fldChar w:fldCharType="separate"/>
      </w:r>
      <w:r>
        <w:rPr>
          <w:rStyle w:val="15"/>
          <w:rFonts w:ascii="Times New Roman" w:hAnsi="Times New Roman" w:cs="Times New Roman"/>
          <w:color w:val="auto"/>
          <w:sz w:val="24"/>
          <w:szCs w:val="24"/>
          <w:u w:val="none"/>
          <w:shd w:val="clear" w:color="auto" w:fill="FFFFFF"/>
        </w:rPr>
        <w:t>order</w:t>
      </w:r>
      <w:r>
        <w:rPr>
          <w:rStyle w:val="15"/>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Cardiida</w:t>
      </w:r>
      <w:r>
        <w:rPr>
          <w:rFonts w:ascii="Times New Roman" w:hAnsi="Times New Roman" w:cs="Times New Roman"/>
          <w:sz w:val="24"/>
          <w:szCs w:val="24"/>
        </w:rPr>
        <w:t>,</w:t>
      </w:r>
      <w:r>
        <w:rPr>
          <w:rFonts w:ascii="Arial" w:hAnsi="Arial" w:cs="Arial"/>
          <w:sz w:val="21"/>
          <w:szCs w:val="21"/>
          <w:shd w:val="clear" w:color="auto" w:fill="FFFFFF"/>
        </w:rPr>
        <w:t xml:space="preserve"> </w:t>
      </w:r>
      <w:r>
        <w:rPr>
          <w:rFonts w:ascii="Times New Roman" w:hAnsi="Times New Roman" w:cs="Times New Roman"/>
          <w:sz w:val="24"/>
          <w:szCs w:val="24"/>
          <w:shd w:val="clear" w:color="auto" w:fill="FFFFFF"/>
        </w:rPr>
        <w:t>an order of </w:t>
      </w:r>
      <w:r>
        <w:fldChar w:fldCharType="begin"/>
      </w:r>
      <w:r>
        <w:instrText xml:space="preserve"> HYPERLINK "https://en.wikipedia.org/wiki/Bivalves" \o "Bivalves" </w:instrText>
      </w:r>
      <w:r>
        <w:fldChar w:fldCharType="separate"/>
      </w:r>
      <w:r>
        <w:rPr>
          <w:rStyle w:val="15"/>
          <w:rFonts w:ascii="Times New Roman" w:hAnsi="Times New Roman" w:cs="Times New Roman"/>
          <w:color w:val="auto"/>
          <w:sz w:val="24"/>
          <w:szCs w:val="24"/>
          <w:u w:val="none"/>
          <w:shd w:val="clear" w:color="auto" w:fill="FFFFFF"/>
        </w:rPr>
        <w:t>bivalves</w:t>
      </w:r>
      <w:r>
        <w:rPr>
          <w:rStyle w:val="15"/>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belonging to the class </w:t>
      </w:r>
      <w:r>
        <w:fldChar w:fldCharType="begin"/>
      </w:r>
      <w:r>
        <w:instrText xml:space="preserve"> HYPERLINK "https://en.wikipedia.org/wiki/Bivalvia" \o "Bivalvia" </w:instrText>
      </w:r>
      <w:r>
        <w:fldChar w:fldCharType="separate"/>
      </w:r>
      <w:r>
        <w:rPr>
          <w:rStyle w:val="15"/>
          <w:rFonts w:ascii="Times New Roman" w:hAnsi="Times New Roman" w:cs="Times New Roman"/>
          <w:color w:val="auto"/>
          <w:sz w:val="24"/>
          <w:szCs w:val="24"/>
          <w:u w:val="none"/>
          <w:shd w:val="clear" w:color="auto" w:fill="FFFFFF"/>
        </w:rPr>
        <w:t>Bivalvia</w:t>
      </w:r>
      <w:r>
        <w:rPr>
          <w:rStyle w:val="15"/>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rPr>
        <w:t>. I</w:t>
      </w:r>
      <w:r>
        <w:rPr>
          <w:rFonts w:ascii="Times New Roman" w:hAnsi="Times New Roman" w:cs="Times New Roman"/>
          <w:sz w:val="24"/>
          <w:szCs w:val="24"/>
          <w:shd w:val="clear" w:color="auto" w:fill="FFFFFF"/>
        </w:rPr>
        <w:t>n previous centuries, Bivalvia referred to as the </w:t>
      </w:r>
      <w:r>
        <w:rPr>
          <w:rFonts w:ascii="Times New Roman" w:hAnsi="Times New Roman" w:cs="Times New Roman"/>
          <w:bCs/>
          <w:sz w:val="24"/>
          <w:szCs w:val="24"/>
          <w:shd w:val="clear" w:color="auto" w:fill="FFFFFF"/>
        </w:rPr>
        <w:t>Lamellibranchiata</w:t>
      </w:r>
      <w:r>
        <w:rPr>
          <w:rFonts w:ascii="Times New Roman" w:hAnsi="Times New Roman" w:cs="Times New Roman"/>
          <w:sz w:val="24"/>
          <w:szCs w:val="24"/>
          <w:shd w:val="clear" w:color="auto" w:fill="FFFFFF"/>
        </w:rPr>
        <w:t> and </w:t>
      </w:r>
      <w:r>
        <w:rPr>
          <w:rFonts w:ascii="Times New Roman" w:hAnsi="Times New Roman" w:cs="Times New Roman"/>
          <w:bCs/>
          <w:sz w:val="24"/>
          <w:szCs w:val="24"/>
          <w:shd w:val="clear" w:color="auto" w:fill="FFFFFF"/>
        </w:rPr>
        <w:t>Pelecypoda</w:t>
      </w:r>
      <w:r>
        <w:rPr>
          <w:rFonts w:ascii="Times New Roman" w:hAnsi="Times New Roman" w:cs="Times New Roman"/>
          <w:sz w:val="24"/>
          <w:szCs w:val="24"/>
          <w:shd w:val="clear" w:color="auto" w:fill="FFFFFF"/>
        </w:rPr>
        <w:t>, is a class of marine and freshwater </w:t>
      </w:r>
      <w:r>
        <w:fldChar w:fldCharType="begin"/>
      </w:r>
      <w:r>
        <w:instrText xml:space="preserve"> HYPERLINK "https://en.wikipedia.org/wiki/Mollusca" \o "Mollusca" </w:instrText>
      </w:r>
      <w:r>
        <w:fldChar w:fldCharType="separate"/>
      </w:r>
      <w:r>
        <w:rPr>
          <w:rStyle w:val="15"/>
          <w:rFonts w:ascii="Times New Roman" w:hAnsi="Times New Roman" w:cs="Times New Roman"/>
          <w:color w:val="auto"/>
          <w:sz w:val="24"/>
          <w:szCs w:val="24"/>
          <w:shd w:val="clear" w:color="auto" w:fill="FFFFFF"/>
        </w:rPr>
        <w:t>molluscs</w:t>
      </w:r>
      <w:r>
        <w:rPr>
          <w:rStyle w:val="15"/>
          <w:rFonts w:ascii="Times New Roman" w:hAnsi="Times New Roman" w:cs="Times New Roman"/>
          <w:color w:val="auto"/>
          <w:sz w:val="24"/>
          <w:szCs w:val="24"/>
          <w:shd w:val="clear" w:color="auto" w:fill="FFFFFF"/>
        </w:rPr>
        <w:fldChar w:fldCharType="end"/>
      </w:r>
      <w:r>
        <w:rPr>
          <w:rFonts w:ascii="Times New Roman" w:hAnsi="Times New Roman" w:cs="Times New Roman"/>
          <w:sz w:val="24"/>
          <w:szCs w:val="24"/>
          <w:shd w:val="clear" w:color="auto" w:fill="FFFFFF"/>
        </w:rPr>
        <w:t> that have laterally compressed bodies enclosed by a shell consisting of two hinged parts.</w:t>
      </w:r>
      <w:bookmarkStart w:id="7" w:name="_Hlk15369524"/>
      <w:r>
        <w:rPr>
          <w:rFonts w:ascii="Times New Roman" w:hAnsi="Times New Roman" w:cs="Times New Roman"/>
          <w:sz w:val="24"/>
          <w:szCs w:val="24"/>
          <w:shd w:val="clear" w:color="auto" w:fill="FFFFFF"/>
        </w:rPr>
        <w:t xml:space="preserve"> </w:t>
      </w:r>
      <w:r>
        <w:rPr>
          <w:rFonts w:ascii="Times New Roman" w:hAnsi="Times New Roman" w:cs="Times New Roman"/>
          <w:shd w:val="clear" w:color="auto" w:fill="FFFFFF"/>
        </w:rPr>
        <w:t xml:space="preserve">Adanson’s tagelus is a short razor clam commonly known as knife clam </w:t>
      </w:r>
      <w:r>
        <w:rPr>
          <w:rFonts w:ascii="Times New Roman" w:hAnsi="Times New Roman" w:cs="Times New Roman"/>
          <w:highlight w:val="yellow"/>
          <w:shd w:val="clear" w:color="auto" w:fill="FFFFFF"/>
          <w:vertAlign w:val="superscript"/>
        </w:rPr>
        <w:t>[4].</w:t>
      </w:r>
      <w:r>
        <w:rPr>
          <w:rFonts w:ascii="Times New Roman" w:hAnsi="Times New Roman" w:cs="Times New Roman"/>
          <w:shd w:val="clear" w:color="auto" w:fill="FFFFFF"/>
          <w:vertAlign w:val="superscript"/>
        </w:rPr>
        <w:t xml:space="preserve"> </w:t>
      </w:r>
      <w:r>
        <w:rPr>
          <w:rFonts w:ascii="Times New Roman" w:hAnsi="Times New Roman" w:cs="Times New Roman"/>
          <w:shd w:val="clear" w:color="auto" w:fill="FFFFFF"/>
        </w:rPr>
        <w:t>It has wide distribution across eastern Atlantic</w:t>
      </w:r>
      <w:bookmarkEnd w:id="7"/>
      <w:bookmarkStart w:id="8" w:name="_Hlk526948488"/>
      <w:r>
        <w:rPr>
          <w:rFonts w:ascii="Times New Roman" w:hAnsi="Times New Roman" w:cs="Times New Roman"/>
          <w:shd w:val="clear" w:color="auto" w:fill="FFFFFF"/>
        </w:rPr>
        <w:t xml:space="preserve"> </w:t>
      </w:r>
      <w:r>
        <w:rPr>
          <w:rFonts w:ascii="Times New Roman" w:hAnsi="Times New Roman" w:cs="Times New Roman"/>
          <w:highlight w:val="yellow"/>
          <w:shd w:val="clear" w:color="auto" w:fill="FFFFFF"/>
          <w:vertAlign w:val="superscript"/>
        </w:rPr>
        <w:t>[5]</w:t>
      </w:r>
      <w:r>
        <w:rPr>
          <w:rFonts w:ascii="Times New Roman" w:hAnsi="Times New Roman" w:cs="Times New Roman"/>
          <w:highlight w:val="yellow"/>
          <w:shd w:val="clear" w:color="auto" w:fill="FFFFFF"/>
        </w:rPr>
        <w:t>.</w:t>
      </w:r>
      <w:bookmarkEnd w:id="8"/>
      <w:r>
        <w:rPr>
          <w:rStyle w:val="17"/>
          <w:rFonts w:ascii="Times New Roman" w:hAnsi="Times New Roman" w:cs="Times New Roman"/>
          <w:sz w:val="24"/>
          <w:szCs w:val="24"/>
          <w:shd w:val="clear" w:color="auto" w:fill="FFFFFF"/>
        </w:rPr>
        <w:t xml:space="preserve"> </w:t>
      </w:r>
    </w:p>
    <w:p>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rPr>
        <w:t xml:space="preserve">Due to geometric rise in human population, the aquatic ecosystems have been grossly polluted. </w:t>
      </w:r>
      <w:r>
        <w:rPr>
          <w:rFonts w:ascii="Times New Roman" w:hAnsi="Times New Roman" w:cs="Times New Roman"/>
          <w:shd w:val="clear" w:color="auto" w:fill="FFFFFF"/>
        </w:rPr>
        <w:t>The primary </w:t>
      </w:r>
      <w:r>
        <w:rPr>
          <w:rStyle w:val="12"/>
          <w:rFonts w:ascii="Times New Roman" w:hAnsi="Times New Roman" w:cs="Times New Roman"/>
          <w:b w:val="0"/>
          <w:shd w:val="clear" w:color="auto" w:fill="FFFFFF"/>
        </w:rPr>
        <w:t>sources</w:t>
      </w:r>
      <w:r>
        <w:rPr>
          <w:rFonts w:ascii="Times New Roman" w:hAnsi="Times New Roman" w:cs="Times New Roman"/>
          <w:shd w:val="clear" w:color="auto" w:fill="FFFFFF"/>
        </w:rPr>
        <w:t> of </w:t>
      </w:r>
      <w:r>
        <w:rPr>
          <w:rStyle w:val="12"/>
          <w:rFonts w:ascii="Times New Roman" w:hAnsi="Times New Roman" w:cs="Times New Roman"/>
          <w:b w:val="0"/>
          <w:shd w:val="clear" w:color="auto" w:fill="FFFFFF"/>
        </w:rPr>
        <w:t>nutrient</w:t>
      </w:r>
      <w:r>
        <w:rPr>
          <w:rFonts w:ascii="Times New Roman" w:hAnsi="Times New Roman" w:cs="Times New Roman"/>
          <w:shd w:val="clear" w:color="auto" w:fill="FFFFFF"/>
        </w:rPr>
        <w:t> </w:t>
      </w:r>
      <w:r>
        <w:rPr>
          <w:rStyle w:val="12"/>
          <w:rFonts w:ascii="Times New Roman" w:hAnsi="Times New Roman" w:cs="Times New Roman"/>
          <w:b w:val="0"/>
          <w:shd w:val="clear" w:color="auto" w:fill="FFFFFF"/>
        </w:rPr>
        <w:t>pollution</w:t>
      </w:r>
      <w:r>
        <w:rPr>
          <w:rFonts w:ascii="Times New Roman" w:hAnsi="Times New Roman" w:cs="Times New Roman"/>
          <w:shd w:val="clear" w:color="auto" w:fill="FFFFFF"/>
        </w:rPr>
        <w:t xml:space="preserve"> include fertilizer from agriculture farmlands, animal manure, sewage treatment plant discharge, detergents, storm water runoff, cars and power plants, failing septic tanks and pet waste, </w:t>
      </w:r>
      <w:r>
        <w:rPr>
          <w:rFonts w:ascii="Times New Roman" w:hAnsi="Times New Roman" w:cs="Times New Roman"/>
        </w:rPr>
        <w:t xml:space="preserve">with considerable regional variation in the relative importance of each </w:t>
      </w:r>
      <w:r>
        <w:rPr>
          <w:rFonts w:ascii="Times New Roman" w:hAnsi="Times New Roman" w:cs="Times New Roman"/>
          <w:highlight w:val="yellow"/>
          <w:vertAlign w:val="superscript"/>
        </w:rPr>
        <w:t>[6]</w:t>
      </w:r>
      <w:r>
        <w:rPr>
          <w:rFonts w:ascii="Times New Roman" w:hAnsi="Times New Roman" w:cs="Times New Roman"/>
          <w:highlight w:val="yellow"/>
        </w:rPr>
        <w:t>.</w:t>
      </w:r>
      <w:r>
        <w:rPr>
          <w:rFonts w:ascii="Times New Roman" w:hAnsi="Times New Roman" w:cs="Times New Roman"/>
        </w:rPr>
        <w:t> </w:t>
      </w:r>
      <w:r>
        <w:rPr>
          <w:rFonts w:ascii="Times New Roman" w:hAnsi="Times New Roman" w:cs="Times New Roman"/>
          <w:shd w:val="clear" w:color="auto" w:fill="FFFFFF"/>
        </w:rPr>
        <w:t>Nutrient pollution is of great environmental concern globally. It is a matter of concern due to excessive amount of nitrogen and phosphorus in water and air. Marine pollution has become one of the biggest threats due to industrialization and agricultural activities. It is hazardous not only for the water kingdom but for human beings directly or indirectly. In it many forms, marine pollution</w:t>
      </w:r>
      <w:r>
        <w:rPr>
          <w:rFonts w:ascii="Times New Roman" w:hAnsi="Times New Roman" w:cs="Times New Roman"/>
        </w:rPr>
        <w:t xml:space="preserve"> alters the physical, chemical, and biological characteristics of the ocean and coastal areas, negatively impacting the health of biodiversity and ecosystems </w:t>
      </w:r>
      <w:r>
        <w:rPr>
          <w:rFonts w:ascii="Times New Roman" w:hAnsi="Times New Roman" w:cs="Times New Roman"/>
          <w:highlight w:val="yellow"/>
          <w:vertAlign w:val="superscript"/>
        </w:rPr>
        <w:t>[7]</w:t>
      </w:r>
      <w:r>
        <w:rPr>
          <w:rFonts w:ascii="Times New Roman" w:hAnsi="Times New Roman" w:cs="Times New Roman"/>
          <w:highlight w:val="yellow"/>
        </w:rPr>
        <w:t>,</w:t>
      </w:r>
      <w:r>
        <w:rPr>
          <w:rFonts w:ascii="Times New Roman" w:hAnsi="Times New Roman" w:cs="Times New Roman"/>
        </w:rPr>
        <w:t xml:space="preserve"> and may increase susceptibility to other stressors, including disease.</w:t>
      </w:r>
    </w:p>
    <w:p>
      <w:pPr>
        <w:spacing w:after="0" w:line="480" w:lineRule="auto"/>
        <w:jc w:val="both"/>
        <w:rPr>
          <w:rFonts w:ascii="Times New Roman" w:hAnsi="Times New Roman" w:cs="Times New Roman"/>
        </w:rPr>
      </w:pPr>
      <w:r>
        <w:rPr>
          <w:rFonts w:ascii="Times New Roman" w:hAnsi="Times New Roman" w:cs="Times New Roman"/>
        </w:rPr>
        <w:t xml:space="preserve">For the past decades, marine mollusks have received special attention and become a natural resource of economic importance </w:t>
      </w:r>
      <w:r>
        <w:rPr>
          <w:rFonts w:ascii="Times New Roman" w:hAnsi="Times New Roman" w:cs="Times New Roman"/>
          <w:highlight w:val="yellow"/>
          <w:vertAlign w:val="superscript"/>
        </w:rPr>
        <w:t>[8]</w:t>
      </w:r>
      <w:r>
        <w:rPr>
          <w:rFonts w:ascii="Times New Roman" w:hAnsi="Times New Roman" w:cs="Times New Roman"/>
          <w:highlight w:val="yellow"/>
        </w:rPr>
        <w:t>.</w:t>
      </w:r>
      <w:r>
        <w:rPr>
          <w:rFonts w:ascii="Times New Roman" w:hAnsi="Times New Roman" w:cs="Times New Roman"/>
        </w:rPr>
        <w:t xml:space="preserve"> Apart from being valued as food and their ornamental importance, marine mollusks from polluted waters have been widely implicated in the outbreak of foodborne illnesses such as typhoid fever, hepatitis and other similar intestinal disorders in various parts of the world </w:t>
      </w:r>
      <w:r>
        <w:rPr>
          <w:rFonts w:ascii="Times New Roman" w:hAnsi="Times New Roman" w:cs="Times New Roman"/>
          <w:highlight w:val="yellow"/>
          <w:vertAlign w:val="superscript"/>
        </w:rPr>
        <w:t>[9, 10]</w:t>
      </w:r>
      <w:r>
        <w:rPr>
          <w:rFonts w:ascii="Times New Roman" w:hAnsi="Times New Roman" w:cs="Times New Roman"/>
          <w:highlight w:val="yellow"/>
        </w:rPr>
        <w:t>.</w:t>
      </w:r>
      <w:r>
        <w:rPr>
          <w:rFonts w:ascii="Times New Roman" w:hAnsi="Times New Roman" w:cs="Times New Roman"/>
        </w:rPr>
        <w:t xml:space="preserve"> </w:t>
      </w:r>
    </w:p>
    <w:p>
      <w:pPr>
        <w:spacing w:after="0" w:line="480" w:lineRule="auto"/>
        <w:jc w:val="both"/>
        <w:rPr>
          <w:rFonts w:ascii="Times New Roman" w:hAnsi="Times New Roman" w:cs="Times New Roman"/>
        </w:rPr>
      </w:pPr>
      <w:r>
        <w:rPr>
          <w:rFonts w:ascii="Times New Roman" w:hAnsi="Times New Roman" w:cs="Times New Roman"/>
        </w:rPr>
        <w:t xml:space="preserve">Microbiological and proximate analyses of seafood have great importance in food safety and quality assurance since, they are major constituents of living matter </w:t>
      </w:r>
      <w:r>
        <w:rPr>
          <w:rFonts w:ascii="Times New Roman" w:hAnsi="Times New Roman" w:cs="Times New Roman"/>
          <w:highlight w:val="yellow"/>
          <w:vertAlign w:val="superscript"/>
        </w:rPr>
        <w:t>[11, 12]</w:t>
      </w:r>
      <w:r>
        <w:rPr>
          <w:rFonts w:ascii="Times New Roman" w:hAnsi="Times New Roman" w:cs="Times New Roman"/>
          <w:highlight w:val="yellow"/>
        </w:rPr>
        <w:t>.</w:t>
      </w:r>
      <w:r>
        <w:rPr>
          <w:rFonts w:ascii="Times New Roman" w:hAnsi="Times New Roman" w:cs="Times New Roman"/>
        </w:rPr>
        <w:t xml:space="preserve"> It is very useful in nutrient content compartmentalization and thus often affords a great deal of attention to consumers due to its potential benefits. It can also serve as biomarkers of aquatic pollution. This research therefore seeks to establish baseline data which will be useful in food safety, quality assurance and future monitoring of aquatic pollution.</w:t>
      </w:r>
    </w:p>
    <w:p>
      <w:pPr>
        <w:spacing w:after="0" w:line="480" w:lineRule="auto"/>
        <w:rPr>
          <w:rFonts w:ascii="Times New Roman" w:hAnsi="Times New Roman" w:cs="Times New Roman"/>
          <w:b/>
          <w:sz w:val="24"/>
          <w:szCs w:val="24"/>
        </w:rPr>
      </w:pPr>
      <w:r>
        <w:rPr>
          <w:rFonts w:ascii="Times New Roman" w:hAnsi="Times New Roman" w:cs="Times New Roman"/>
          <w:b/>
          <w:sz w:val="24"/>
          <w:szCs w:val="24"/>
        </w:rPr>
        <w:t>2. Materials and Methods</w:t>
      </w:r>
    </w:p>
    <w:p>
      <w:pPr>
        <w:spacing w:after="0" w:line="480" w:lineRule="auto"/>
        <w:rPr>
          <w:rFonts w:ascii="Times New Roman" w:hAnsi="Times New Roman" w:cs="Times New Roman"/>
          <w:i/>
        </w:rPr>
      </w:pPr>
      <w:r>
        <w:rPr>
          <w:rFonts w:ascii="Times New Roman" w:hAnsi="Times New Roman" w:cs="Times New Roman"/>
          <w:i/>
          <w:sz w:val="24"/>
          <w:szCs w:val="24"/>
        </w:rPr>
        <w:t>2.</w:t>
      </w:r>
      <w:r>
        <w:rPr>
          <w:rFonts w:ascii="Times New Roman" w:hAnsi="Times New Roman" w:cs="Times New Roman"/>
          <w:i/>
        </w:rPr>
        <w:t xml:space="preserve">1 Study Area </w:t>
      </w:r>
    </w:p>
    <w:p>
      <w:pPr>
        <w:spacing w:after="0" w:line="480" w:lineRule="auto"/>
        <w:jc w:val="both"/>
        <w:rPr>
          <w:rFonts w:ascii="Times New Roman" w:hAnsi="Times New Roman" w:cs="Times New Roman"/>
          <w:b/>
        </w:rPr>
      </w:pPr>
      <w:r>
        <w:rPr>
          <w:rFonts w:ascii="Times New Roman" w:hAnsi="Times New Roman" w:cs="Times New Roman"/>
        </w:rPr>
        <w:t xml:space="preserve">Live specimens of </w:t>
      </w:r>
      <w:r>
        <w:rPr>
          <w:rFonts w:ascii="Times New Roman" w:hAnsi="Times New Roman" w:cs="Times New Roman"/>
          <w:i/>
        </w:rPr>
        <w:t>T. adansonii</w:t>
      </w:r>
      <w:r>
        <w:rPr>
          <w:rFonts w:ascii="Times New Roman" w:hAnsi="Times New Roman" w:cs="Times New Roman"/>
        </w:rPr>
        <w:t xml:space="preserve"> were obtained from the intertidal zone of the Iko Estuary, a brackish water habitat characterized by tides, mangroves, several species of fin and shellfish (Fig. 1).</w:t>
      </w:r>
      <w:r>
        <w:rPr>
          <w:rFonts w:ascii="Times New Roman" w:hAnsi="Times New Roman" w:cs="Times New Roman"/>
          <w:b/>
        </w:rPr>
        <w:t xml:space="preserve"> </w:t>
      </w:r>
    </w:p>
    <w:p>
      <w:pPr>
        <w:spacing w:after="0" w:line="480" w:lineRule="auto"/>
        <w:jc w:val="center"/>
        <w:rPr>
          <w:rFonts w:ascii="Times New Roman" w:hAnsi="Times New Roman" w:cs="Times New Roman"/>
        </w:rPr>
      </w:pPr>
      <w:r>
        <w:rPr>
          <w:rFonts w:ascii="Times New Roman" w:hAnsi="Times New Roman"/>
          <w:sz w:val="28"/>
          <w:szCs w:val="28"/>
          <w:lang w:val="en-GB" w:eastAsia="en-GB"/>
        </w:rPr>
        <w:drawing>
          <wp:inline distT="0" distB="0" distL="0" distR="0">
            <wp:extent cx="5372100" cy="3906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27778" cy="3947409"/>
                    </a:xfrm>
                    <a:prstGeom prst="rect">
                      <a:avLst/>
                    </a:prstGeom>
                    <a:noFill/>
                    <a:ln>
                      <a:noFill/>
                    </a:ln>
                  </pic:spPr>
                </pic:pic>
              </a:graphicData>
            </a:graphic>
          </wp:inline>
        </w:drawing>
      </w:r>
    </w:p>
    <w:p>
      <w:pPr>
        <w:spacing w:line="480" w:lineRule="auto"/>
        <w:jc w:val="center"/>
        <w:rPr>
          <w:rFonts w:ascii="Times New Roman" w:hAnsi="Times New Roman" w:cs="Times New Roman"/>
          <w:b/>
        </w:rPr>
      </w:pPr>
      <w:r>
        <w:rPr>
          <w:rFonts w:ascii="Times New Roman" w:hAnsi="Times New Roman" w:cs="Times New Roman"/>
          <w:b/>
        </w:rPr>
        <w:t>Fig.1: Location of the study area on the map of Niger Delta Region, Nigeria</w:t>
      </w:r>
    </w:p>
    <w:p>
      <w:pPr>
        <w:spacing w:after="0" w:line="480" w:lineRule="auto"/>
        <w:rPr>
          <w:rFonts w:ascii="Times New Roman" w:hAnsi="Times New Roman" w:cs="Times New Roman"/>
          <w:i/>
          <w:sz w:val="24"/>
          <w:szCs w:val="24"/>
        </w:rPr>
      </w:pPr>
      <w:r>
        <w:rPr>
          <w:rFonts w:ascii="Times New Roman" w:hAnsi="Times New Roman" w:cs="Times New Roman"/>
          <w:i/>
          <w:sz w:val="24"/>
          <w:szCs w:val="24"/>
        </w:rPr>
        <w:t>2.2 Sampling procedure and processing</w:t>
      </w:r>
    </w:p>
    <w:p>
      <w:pPr>
        <w:spacing w:after="0" w:line="480" w:lineRule="auto"/>
        <w:jc w:val="both"/>
        <w:rPr>
          <w:rFonts w:ascii="Times New Roman" w:hAnsi="Times New Roman" w:cs="Times New Roman"/>
          <w:b/>
        </w:rPr>
      </w:pPr>
      <w:r>
        <w:rPr>
          <w:rFonts w:ascii="Times New Roman" w:hAnsi="Times New Roman" w:cs="Times New Roman"/>
        </w:rPr>
        <w:t>Samples were collected monthly from February 2019 to January 2020 in Iko Lagoon in Nigeria. This receives its catches from the Qua Iboe and Imo river estuaries.</w:t>
      </w:r>
      <w:r>
        <w:rPr>
          <w:rFonts w:ascii="Times New Roman" w:hAnsi="Times New Roman" w:cs="Times New Roman"/>
          <w:b/>
        </w:rPr>
        <w:t xml:space="preserve"> </w:t>
      </w:r>
      <w:r>
        <w:rPr>
          <w:rFonts w:ascii="Times New Roman" w:hAnsi="Times New Roman"/>
          <w:lang w:val="en-GB"/>
        </w:rPr>
        <w:t xml:space="preserve">A total of five hundred and thirty (530) live specimens of </w:t>
      </w:r>
      <w:r>
        <w:rPr>
          <w:rFonts w:ascii="Times New Roman" w:hAnsi="Times New Roman"/>
          <w:i/>
          <w:lang w:val="en-GB"/>
        </w:rPr>
        <w:t>T. adansonii</w:t>
      </w:r>
      <w:r>
        <w:rPr>
          <w:rFonts w:ascii="Times New Roman" w:hAnsi="Times New Roman"/>
          <w:lang w:val="en-GB"/>
        </w:rPr>
        <w:t xml:space="preserve"> </w:t>
      </w:r>
      <w:r>
        <w:rPr>
          <w:rFonts w:ascii="Times New Roman" w:hAnsi="Times New Roman" w:cs="Times New Roman"/>
        </w:rPr>
        <w:t>were handpicked from the sediments in randomly sampled areas and washed with water from the creek and</w:t>
      </w:r>
      <w:r>
        <w:rPr>
          <w:rFonts w:ascii="Times New Roman" w:hAnsi="Times New Roman"/>
          <w:lang w:val="en-GB"/>
        </w:rPr>
        <w:t xml:space="preserve"> then transported in </w:t>
      </w:r>
      <w:r>
        <w:rPr>
          <w:rFonts w:ascii="Times New Roman" w:hAnsi="Times New Roman" w:cs="Times New Roman"/>
        </w:rPr>
        <w:t xml:space="preserve">a </w:t>
      </w:r>
      <w:r>
        <w:rPr>
          <w:rFonts w:ascii="Times New Roman" w:hAnsi="Times New Roman"/>
          <w:lang w:val="en-GB"/>
        </w:rPr>
        <w:t>sterile ice-packed coolers</w:t>
      </w:r>
      <w:r>
        <w:rPr>
          <w:rFonts w:ascii="Times New Roman" w:hAnsi="Times New Roman" w:cs="Times New Roman"/>
        </w:rPr>
        <w:t xml:space="preserve"> containing mud collected</w:t>
      </w:r>
      <w:r>
        <w:rPr>
          <w:rFonts w:ascii="Times New Roman" w:hAnsi="Times New Roman"/>
          <w:lang w:val="en-GB"/>
        </w:rPr>
        <w:t xml:space="preserve"> </w:t>
      </w:r>
      <w:r>
        <w:rPr>
          <w:rFonts w:ascii="Times New Roman" w:hAnsi="Times New Roman" w:cs="Times New Roman"/>
        </w:rPr>
        <w:t>from the tidal mudflat</w:t>
      </w:r>
      <w:r>
        <w:rPr>
          <w:rFonts w:ascii="Times New Roman" w:hAnsi="Times New Roman"/>
          <w:lang w:val="en-GB"/>
        </w:rPr>
        <w:t xml:space="preserve"> to the Microbiology Laboratory University of Uyo, Uyo, Nigeria for analysis</w:t>
      </w:r>
      <w:r>
        <w:rPr>
          <w:rFonts w:ascii="Times New Roman" w:hAnsi="Times New Roman" w:cs="Times New Roman"/>
        </w:rPr>
        <w:t xml:space="preserve">. </w:t>
      </w:r>
      <w:r>
        <w:rPr>
          <w:rFonts w:ascii="Times New Roman" w:hAnsi="Times New Roman"/>
          <w:lang w:val="en-GB"/>
        </w:rPr>
        <w:t>Prior to analysis, sample were washed with a brush and water to remove all debris on the shells, spread on laboratory table and allowed to air-dry at room temperature. Selection of the healthy-looking clams was done through visual examination. A total of one hundred and fifty (150) samples each were selected for gut, shell and soft body analyses. Thereafter, extraction of the samples’ soft body was done using a sterile scalpel. After each sampling date, samples’ flesh weighing 10 g were homogenized in a blender with 90 ml of sterile distilled water, corresponding to a 10</w:t>
      </w:r>
      <w:r>
        <w:rPr>
          <w:rFonts w:ascii="Times New Roman" w:hAnsi="Times New Roman"/>
          <w:vertAlign w:val="superscript"/>
          <w:lang w:val="en-GB"/>
        </w:rPr>
        <w:t>-1</w:t>
      </w:r>
      <w:r>
        <w:rPr>
          <w:rFonts w:ascii="Times New Roman" w:hAnsi="Times New Roman"/>
          <w:lang w:val="en-GB"/>
        </w:rPr>
        <w:t xml:space="preserve"> dilution </w:t>
      </w:r>
      <w:r>
        <w:rPr>
          <w:rFonts w:ascii="Times New Roman" w:hAnsi="Times New Roman"/>
          <w:highlight w:val="yellow"/>
          <w:vertAlign w:val="superscript"/>
          <w:lang w:val="en-GB"/>
        </w:rPr>
        <w:t>[13]</w:t>
      </w:r>
      <w:r>
        <w:rPr>
          <w:rFonts w:ascii="Times New Roman" w:hAnsi="Times New Roman"/>
          <w:highlight w:val="yellow"/>
          <w:lang w:val="en-GB"/>
        </w:rPr>
        <w:t>.</w:t>
      </w:r>
      <w:r>
        <w:rPr>
          <w:rFonts w:ascii="Times New Roman" w:hAnsi="Times New Roman"/>
          <w:lang w:val="en-GB"/>
        </w:rPr>
        <w:t xml:space="preserve"> A sterile surgical blade was used to obtain samples’ guts through dissection then pulverized using a sterile mortar. The clam shell was also pulverized separately and then all the specimens were used for analysis. Part of t</w:t>
      </w:r>
      <w:r>
        <w:rPr>
          <w:rFonts w:ascii="Times New Roman" w:hAnsi="Times New Roman" w:cs="Times New Roman"/>
        </w:rPr>
        <w:t xml:space="preserve">he samples were weighed prior to laboratory analysis of its proximate composition </w:t>
      </w:r>
      <w:r>
        <w:rPr>
          <w:rFonts w:ascii="Times New Roman" w:hAnsi="Times New Roman" w:cs="Times New Roman"/>
          <w:highlight w:val="yellow"/>
          <w:vertAlign w:val="superscript"/>
        </w:rPr>
        <w:t>[14]</w:t>
      </w:r>
      <w:r>
        <w:rPr>
          <w:rFonts w:ascii="Times New Roman" w:hAnsi="Times New Roman" w:cs="Times New Roman"/>
          <w:highlight w:val="yellow"/>
        </w:rPr>
        <w:t>.</w:t>
      </w:r>
      <w:r>
        <w:rPr>
          <w:rFonts w:ascii="Times New Roman" w:hAnsi="Times New Roman" w:cs="Times New Roman"/>
        </w:rPr>
        <w:t xml:space="preserve"> </w:t>
      </w:r>
    </w:p>
    <w:p>
      <w:pPr>
        <w:spacing w:after="0" w:line="480" w:lineRule="auto"/>
        <w:jc w:val="both"/>
        <w:rPr>
          <w:rFonts w:ascii="Times New Roman" w:hAnsi="Times New Roman" w:cs="Times New Roman"/>
          <w:bCs/>
          <w:i/>
        </w:rPr>
      </w:pPr>
      <w:r>
        <w:rPr>
          <w:rFonts w:ascii="Times New Roman" w:hAnsi="Times New Roman" w:cs="Times New Roman"/>
          <w:bCs/>
          <w:i/>
        </w:rPr>
        <w:t>2.3 Microbiological Analysis</w:t>
      </w:r>
    </w:p>
    <w:p>
      <w:pPr>
        <w:spacing w:after="0" w:line="480" w:lineRule="auto"/>
        <w:jc w:val="both"/>
        <w:rPr>
          <w:rFonts w:ascii="Times New Roman" w:hAnsi="Times New Roman" w:cs="Times New Roman"/>
          <w:bCs/>
          <w:i/>
        </w:rPr>
      </w:pPr>
      <w:r>
        <w:rPr>
          <w:rFonts w:ascii="Times New Roman" w:hAnsi="Times New Roman" w:cs="Times New Roman"/>
          <w:bCs/>
          <w:i/>
        </w:rPr>
        <w:t>2.3.1 Serial dilution of the homogenate</w:t>
      </w:r>
    </w:p>
    <w:p>
      <w:pPr>
        <w:spacing w:after="0" w:line="480" w:lineRule="auto"/>
        <w:jc w:val="both"/>
        <w:rPr>
          <w:rFonts w:ascii="Times New Roman" w:hAnsi="Times New Roman" w:cs="Times New Roman"/>
        </w:rPr>
      </w:pPr>
      <w:r>
        <w:rPr>
          <w:rFonts w:ascii="Times New Roman" w:hAnsi="Times New Roman" w:cs="Times New Roman"/>
          <w:lang w:val="en-GB"/>
        </w:rPr>
        <w:t xml:space="preserve">Prior to culture, serial dilution of the homogenate was conducted according to the method of Fawole and Oso </w:t>
      </w:r>
      <w:r>
        <w:rPr>
          <w:rFonts w:ascii="Times New Roman" w:hAnsi="Times New Roman" w:cs="Times New Roman"/>
          <w:highlight w:val="yellow"/>
          <w:vertAlign w:val="superscript"/>
          <w:lang w:val="en-GB"/>
        </w:rPr>
        <w:t>[15]</w:t>
      </w:r>
      <w:r>
        <w:rPr>
          <w:rFonts w:ascii="Times New Roman" w:hAnsi="Times New Roman" w:cs="Times New Roman"/>
          <w:highlight w:val="yellow"/>
          <w:lang w:val="en-GB"/>
        </w:rPr>
        <w:t>.</w:t>
      </w:r>
      <w:r>
        <w:rPr>
          <w:rFonts w:ascii="Times New Roman" w:hAnsi="Times New Roman" w:cs="Times New Roman"/>
          <w:lang w:val="en-GB"/>
        </w:rPr>
        <w:t xml:space="preserve"> The samples was first blended using Laboratory Blender (Lab Blender 400 series, UK). Next was the weighing of ten (10) grams of samples and homogenization in 90 ml of sterile distilled water. This was shaken vigorously to dislodge bacteria and other microbes attached to it. Sterile pipette was then used to prepare tenfold dilution of the homogenates after which the aliquot (1 ml) was serially transferred to other test tubes containing 9 ml of distilled water up to 10</w:t>
      </w:r>
      <w:r>
        <w:rPr>
          <w:rFonts w:ascii="Times New Roman" w:hAnsi="Times New Roman" w:cs="Times New Roman"/>
          <w:vertAlign w:val="superscript"/>
          <w:lang w:val="en-GB"/>
        </w:rPr>
        <w:t>-6</w:t>
      </w:r>
      <w:r>
        <w:rPr>
          <w:rFonts w:ascii="Times New Roman" w:hAnsi="Times New Roman" w:cs="Times New Roman"/>
          <w:lang w:val="en-GB"/>
        </w:rPr>
        <w:t>. Molten agar was prepared, and one (1) ml of the diluents of 10</w:t>
      </w:r>
      <w:r>
        <w:rPr>
          <w:rFonts w:ascii="Times New Roman" w:hAnsi="Times New Roman" w:cs="Times New Roman"/>
          <w:vertAlign w:val="superscript"/>
          <w:lang w:val="en-GB"/>
        </w:rPr>
        <w:t>-4</w:t>
      </w:r>
      <w:r>
        <w:rPr>
          <w:rFonts w:ascii="Times New Roman" w:hAnsi="Times New Roman" w:cs="Times New Roman"/>
          <w:lang w:val="en-GB"/>
        </w:rPr>
        <w:t xml:space="preserve"> was aseptically dispensed into the Petri dishes containing 15 ml of the agar. </w:t>
      </w:r>
      <w:r>
        <w:rPr>
          <w:rFonts w:ascii="Times New Roman" w:hAnsi="Times New Roman" w:cs="Times New Roman"/>
        </w:rPr>
        <w:t xml:space="preserve">Samples culture was done in triplicates. </w:t>
      </w:r>
      <w:r>
        <w:rPr>
          <w:rFonts w:ascii="Times New Roman" w:hAnsi="Times New Roman" w:cs="Times New Roman"/>
          <w:lang w:val="en-GB"/>
        </w:rPr>
        <w:t xml:space="preserve">All plates were incubated at 37°C for 24 hours. </w:t>
      </w:r>
      <w:r>
        <w:rPr>
          <w:rFonts w:ascii="Times New Roman" w:hAnsi="Times New Roman" w:cs="Times New Roman"/>
        </w:rPr>
        <w:t>In order to obtain pure colonies, subculture of the samples was carried out. Biochemical test of the isolates was carried out confirmed by microscopic examination prior to characterization and identification. Nutrient Agar (Oxoid, USA), Thiosulphate citrate bile-salt agar (Oxoid, USA), Eosin Methylene Blue (Oxoid, USA), Mannitol salt agar ((Difco Laboratories, Detroit, Mich), and Sabourad Dextrose Agar (Difco Laboratories, Detroit, Mich) were used for the enumeration of  Total Heterotrophic Bacteria Count (THBC), Total Vibrio Count (TVC), Total Coliform Count (TCC), Total Staphylococcal Count (TSC) and Total Fungal Count (TFC) respectively. Nutrient agar slants in McCartney bottles was used to maintain the isolates and preserved in a refrigerator at 4</w:t>
      </w:r>
      <w:r>
        <w:rPr>
          <w:rFonts w:ascii="Times New Roman" w:hAnsi="Times New Roman" w:cs="Times New Roman"/>
          <w:vertAlign w:val="superscript"/>
        </w:rPr>
        <w:t>o</w:t>
      </w:r>
      <w:r>
        <w:rPr>
          <w:rFonts w:ascii="Times New Roman" w:hAnsi="Times New Roman" w:cs="Times New Roman"/>
        </w:rPr>
        <w:t xml:space="preserve">C for further analysis. </w:t>
      </w:r>
      <w:r>
        <w:rPr>
          <w:rFonts w:ascii="Times New Roman" w:hAnsi="Times New Roman"/>
          <w:lang w:val="en-GB"/>
        </w:rPr>
        <w:t xml:space="preserve">A sterile inoculation needle was used to pick up morphologically different colonies and aseptically transferred to sterile nutrient slant for further characterization. Purity check and characterization was done following the standard characterization key </w:t>
      </w:r>
      <w:r>
        <w:rPr>
          <w:rFonts w:ascii="Times New Roman" w:hAnsi="Times New Roman"/>
          <w:highlight w:val="yellow"/>
          <w:vertAlign w:val="superscript"/>
          <w:lang w:val="en-GB"/>
        </w:rPr>
        <w:t>[16]</w:t>
      </w:r>
      <w:r>
        <w:rPr>
          <w:rFonts w:ascii="Times New Roman" w:hAnsi="Times New Roman"/>
          <w:vertAlign w:val="superscript"/>
          <w:lang w:val="en-GB"/>
        </w:rPr>
        <w:t xml:space="preserve"> </w:t>
      </w:r>
      <w:r>
        <w:rPr>
          <w:rFonts w:ascii="Times New Roman" w:hAnsi="Times New Roman"/>
          <w:lang w:val="en-GB"/>
        </w:rPr>
        <w:t>partitioned into</w:t>
      </w:r>
      <w:r>
        <w:rPr>
          <w:rFonts w:ascii="Times New Roman" w:hAnsi="Times New Roman"/>
          <w:sz w:val="24"/>
          <w:szCs w:val="24"/>
          <w:lang w:val="en-GB"/>
        </w:rPr>
        <w:t xml:space="preserve"> Gram reaction, catalase, coagulase, motility, starch hydrolase,  citrate, urease, MR, VP, Kovac’s oxidase, oxidation/fermentation (O/F) test, indole, mannitol, glucose, sucrose and lactose tests. </w:t>
      </w:r>
    </w:p>
    <w:p>
      <w:pPr>
        <w:pStyle w:val="20"/>
        <w:spacing w:line="480" w:lineRule="auto"/>
        <w:ind w:left="0" w:firstLine="0"/>
        <w:rPr>
          <w:rFonts w:ascii="Times New Roman" w:hAnsi="Times New Roman"/>
          <w:i/>
          <w:lang w:val="en-GB"/>
        </w:rPr>
      </w:pPr>
      <w:r>
        <w:rPr>
          <w:rFonts w:ascii="Times New Roman" w:hAnsi="Times New Roman"/>
          <w:i/>
          <w:lang w:val="en-GB"/>
        </w:rPr>
        <w:t xml:space="preserve">2.4 Experimental Procedure </w:t>
      </w:r>
    </w:p>
    <w:p>
      <w:pPr>
        <w:pStyle w:val="20"/>
        <w:spacing w:line="480" w:lineRule="auto"/>
        <w:ind w:left="0" w:firstLine="0"/>
        <w:rPr>
          <w:rFonts w:ascii="Times New Roman" w:hAnsi="Times New Roman"/>
          <w:lang w:val="en-GB"/>
        </w:rPr>
      </w:pPr>
      <w:r>
        <w:rPr>
          <w:rFonts w:ascii="Times New Roman" w:hAnsi="Times New Roman"/>
          <w:lang w:val="en-GB"/>
        </w:rPr>
        <w:t>Completely Randomized Design (CRD) with four (4) treatments and three (3) replicates was used. Total Heterotrophic Bacteria Count, TVC, TCC, TSC and TFC stood for treatments 1, 2, 3, 4 and 5 respectively. Each quarter year sampling represented a replicate; the one year sampling represented three replicates.</w:t>
      </w:r>
    </w:p>
    <w:p>
      <w:pPr>
        <w:spacing w:after="0" w:line="480" w:lineRule="auto"/>
        <w:jc w:val="both"/>
        <w:rPr>
          <w:rFonts w:ascii="Times New Roman" w:hAnsi="Times New Roman" w:cs="Times New Roman"/>
          <w:i/>
        </w:rPr>
      </w:pPr>
      <w:r>
        <w:rPr>
          <w:rFonts w:ascii="Times New Roman" w:hAnsi="Times New Roman" w:cs="Times New Roman"/>
          <w:i/>
        </w:rPr>
        <w:t>2.5 Analysis of Proximate Composition</w:t>
      </w:r>
    </w:p>
    <w:p>
      <w:pPr>
        <w:tabs>
          <w:tab w:val="left" w:pos="1170"/>
        </w:tabs>
        <w:spacing w:after="0" w:line="480" w:lineRule="auto"/>
        <w:jc w:val="both"/>
        <w:rPr>
          <w:rFonts w:ascii="Times New Roman" w:hAnsi="Times New Roman" w:cs="Times New Roman"/>
          <w:i/>
        </w:rPr>
      </w:pPr>
      <w:r>
        <w:rPr>
          <w:rFonts w:ascii="Times New Roman" w:hAnsi="Times New Roman" w:cs="Times New Roman"/>
          <w:i/>
        </w:rPr>
        <w:t>2.5.1 Moisture content determination</w:t>
      </w:r>
    </w:p>
    <w:p>
      <w:pPr>
        <w:spacing w:after="0" w:line="480" w:lineRule="auto"/>
        <w:jc w:val="both"/>
        <w:rPr>
          <w:rFonts w:ascii="Times New Roman" w:hAnsi="Times New Roman" w:cs="Times New Roman"/>
        </w:rPr>
      </w:pPr>
      <w:r>
        <w:rPr>
          <w:rFonts w:ascii="Times New Roman" w:hAnsi="Times New Roman" w:cs="Times New Roman"/>
        </w:rPr>
        <w:t>Weighing bottle was washed, oven-dried at 80% for five (5) minutes, cooled and weighed and recorded as beaker weight (a). Two (2) grammes of the sample was weighed into the weighing bottle, now bottle weight plus sample recorded (b). The weighing bottle with the sample was then oven-dried at 105</w:t>
      </w:r>
      <w:r>
        <w:rPr>
          <w:rFonts w:ascii="Times New Roman" w:hAnsi="Times New Roman" w:cs="Times New Roman"/>
          <w:vertAlign w:val="superscript"/>
        </w:rPr>
        <w:t>o</w:t>
      </w:r>
      <w:r>
        <w:rPr>
          <w:rFonts w:ascii="Times New Roman" w:hAnsi="Times New Roman" w:cs="Times New Roman"/>
        </w:rPr>
        <w:t>C for 24 hours. The bottle allowed to cool in a desiccator to room temperature, weighed with a minimum exposure to atmosphere. This was repeated till constant weigh is obtained (c). Percentage moisture was therefore calculated thus:</w:t>
      </w:r>
    </w:p>
    <w:p>
      <w:pPr>
        <w:spacing w:after="0" w:line="480" w:lineRule="auto"/>
        <w:jc w:val="center"/>
        <w:rPr>
          <w:rFonts w:ascii="Times New Roman" w:hAnsi="Times New Roman" w:cs="Times New Roman"/>
        </w:rPr>
      </w:pPr>
      <w:r>
        <w:rPr>
          <w:rFonts w:ascii="Times New Roman" w:hAnsi="Times New Roman" w:cs="Times New Roman"/>
          <w:b/>
          <w:i/>
        </w:rPr>
        <w:t>Percentage Moisture (% wet weight) = b-c/b-a*100</w:t>
      </w:r>
    </w:p>
    <w:p>
      <w:pPr>
        <w:pStyle w:val="18"/>
        <w:tabs>
          <w:tab w:val="left" w:pos="540"/>
          <w:tab w:val="left" w:pos="1170"/>
        </w:tabs>
        <w:spacing w:after="0" w:line="480" w:lineRule="auto"/>
        <w:ind w:left="0"/>
        <w:jc w:val="both"/>
        <w:rPr>
          <w:rFonts w:ascii="Times New Roman" w:hAnsi="Times New Roman" w:cs="Times New Roman"/>
        </w:rPr>
      </w:pPr>
      <w:r>
        <w:rPr>
          <w:rFonts w:ascii="Times New Roman" w:hAnsi="Times New Roman" w:cs="Times New Roman"/>
        </w:rPr>
        <w:t>The dried sample was ground with grinding machine into powder form often necessary to pass through sieve of particular mesh size and then stored at low temperature in dry air-tight container.</w:t>
      </w:r>
    </w:p>
    <w:p>
      <w:pPr>
        <w:tabs>
          <w:tab w:val="left" w:pos="540"/>
          <w:tab w:val="left" w:pos="1170"/>
        </w:tabs>
        <w:spacing w:after="0" w:line="480" w:lineRule="auto"/>
        <w:jc w:val="both"/>
        <w:rPr>
          <w:rFonts w:ascii="Times New Roman" w:hAnsi="Times New Roman" w:cs="Times New Roman"/>
          <w:i/>
        </w:rPr>
      </w:pPr>
      <w:r>
        <w:rPr>
          <w:rFonts w:ascii="Times New Roman" w:hAnsi="Times New Roman" w:cs="Times New Roman"/>
          <w:i/>
        </w:rPr>
        <w:t>2.5.2 Preparation of sample for subsequent analysis</w:t>
      </w:r>
    </w:p>
    <w:p>
      <w:pPr>
        <w:pStyle w:val="18"/>
        <w:tabs>
          <w:tab w:val="left" w:pos="540"/>
          <w:tab w:val="left" w:pos="1170"/>
        </w:tabs>
        <w:spacing w:after="0" w:line="480" w:lineRule="auto"/>
        <w:ind w:left="0"/>
        <w:jc w:val="both"/>
        <w:rPr>
          <w:rFonts w:ascii="Times New Roman" w:hAnsi="Times New Roman" w:cs="Times New Roman"/>
        </w:rPr>
      </w:pPr>
      <w:r>
        <w:rPr>
          <w:rFonts w:ascii="Times New Roman" w:hAnsi="Times New Roman" w:cs="Times New Roman"/>
        </w:rPr>
        <w:t>After taking part of the fresh sample for moisture content determination, the remaining sample was to be dried to a constant weight before subsequent analysis. Low temperature (50-60</w:t>
      </w:r>
      <w:r>
        <w:rPr>
          <w:rFonts w:ascii="Times New Roman" w:hAnsi="Times New Roman" w:cs="Times New Roman"/>
          <w:vertAlign w:val="superscript"/>
        </w:rPr>
        <w:t>o</w:t>
      </w:r>
      <w:r>
        <w:rPr>
          <w:rFonts w:ascii="Times New Roman" w:hAnsi="Times New Roman" w:cs="Times New Roman"/>
        </w:rPr>
        <w:t>C) was employed to reduce any possible effect of high temperature on the protein (and probably other nutrient) in the food sample, such effects include: Protein denaturation, Loss of vitamins, decomposition of anions. However, the oven dried material was ground in a mortar into a powdered form, often necessary to pass through a sieve of a particular mesh size and then stored at a low temperature in dry air-tight container specifically having a plastic cover.</w:t>
      </w:r>
    </w:p>
    <w:p>
      <w:pPr>
        <w:tabs>
          <w:tab w:val="left" w:pos="540"/>
          <w:tab w:val="left" w:pos="1170"/>
        </w:tabs>
        <w:spacing w:after="0" w:line="480" w:lineRule="auto"/>
        <w:jc w:val="both"/>
        <w:rPr>
          <w:rFonts w:ascii="Times New Roman" w:hAnsi="Times New Roman" w:cs="Times New Roman"/>
        </w:rPr>
      </w:pPr>
      <w:r>
        <w:rPr>
          <w:rFonts w:ascii="Times New Roman" w:hAnsi="Times New Roman" w:cs="Times New Roman"/>
        </w:rPr>
        <w:t>The following parameters were determined from the ground samples; Ash, crude fibre, lipids, crude protein, fat, etc.</w:t>
      </w:r>
    </w:p>
    <w:p>
      <w:pPr>
        <w:tabs>
          <w:tab w:val="left" w:pos="540"/>
          <w:tab w:val="left" w:pos="1170"/>
        </w:tabs>
        <w:spacing w:after="0" w:line="480" w:lineRule="auto"/>
        <w:jc w:val="both"/>
        <w:rPr>
          <w:rFonts w:ascii="Times New Roman" w:hAnsi="Times New Roman" w:cs="Times New Roman"/>
          <w:i/>
        </w:rPr>
      </w:pPr>
      <w:r>
        <w:rPr>
          <w:rFonts w:ascii="Times New Roman" w:hAnsi="Times New Roman" w:cs="Times New Roman"/>
          <w:i/>
        </w:rPr>
        <w:t xml:space="preserve">2.5.3 Ash and organic matter determination </w:t>
      </w:r>
    </w:p>
    <w:p>
      <w:pPr>
        <w:pStyle w:val="18"/>
        <w:tabs>
          <w:tab w:val="left" w:pos="1170"/>
        </w:tabs>
        <w:spacing w:after="0" w:line="480" w:lineRule="auto"/>
        <w:ind w:left="0"/>
        <w:jc w:val="both"/>
        <w:rPr>
          <w:rFonts w:ascii="Times New Roman" w:hAnsi="Times New Roman" w:cs="Times New Roman"/>
          <w:b/>
        </w:rPr>
      </w:pPr>
      <w:r>
        <w:rPr>
          <w:rFonts w:ascii="Times New Roman" w:hAnsi="Times New Roman" w:cs="Times New Roman"/>
        </w:rPr>
        <w:t>This was done by ignition of crucibles with lid in a muffle furnace at 105</w:t>
      </w:r>
      <w:r>
        <w:rPr>
          <w:rFonts w:ascii="Times New Roman" w:hAnsi="Times New Roman" w:cs="Times New Roman"/>
          <w:vertAlign w:val="superscript"/>
        </w:rPr>
        <w:t>o</w:t>
      </w:r>
      <w:r>
        <w:rPr>
          <w:rFonts w:ascii="Times New Roman" w:hAnsi="Times New Roman" w:cs="Times New Roman"/>
        </w:rPr>
        <w:t>C for an hour, and transferred to a desiccator to cool and the weight was recorded as weight of empty crucible (a). Next, 1 – 5 grammes of dry sample, finely pulverized, was transferred into the pre-weighed crucible and the weight of the crucible plus sample (b) was recorded. Then, crucible plus sample were charred on a heater or Bunsen flame in a fume cupboard, to drive off most of the smoke (until smoking ceased), then transferred to a muffle furnace heated at (500-600</w:t>
      </w:r>
      <w:r>
        <w:rPr>
          <w:rFonts w:ascii="Times New Roman" w:hAnsi="Times New Roman" w:cs="Times New Roman"/>
          <w:vertAlign w:val="superscript"/>
        </w:rPr>
        <w:t>o</w:t>
      </w:r>
      <w:r>
        <w:rPr>
          <w:rFonts w:ascii="Times New Roman" w:hAnsi="Times New Roman" w:cs="Times New Roman"/>
        </w:rPr>
        <w:t>C) to burn off all the organic matter; then left for 2 hours. The crucible was taken out, when cool, covered and placed in a desiccator and weighed (c). Percentage ash was determined as follows:</w:t>
      </w:r>
    </w:p>
    <w:p>
      <w:pPr>
        <w:pStyle w:val="18"/>
        <w:tabs>
          <w:tab w:val="left" w:pos="540"/>
          <w:tab w:val="left" w:pos="1170"/>
        </w:tabs>
        <w:spacing w:after="0" w:line="480" w:lineRule="auto"/>
        <w:ind w:left="0"/>
        <w:jc w:val="center"/>
        <w:rPr>
          <w:rFonts w:ascii="Times New Roman" w:hAnsi="Times New Roman" w:cs="Times New Roman"/>
          <w:b/>
          <w:i/>
        </w:rPr>
      </w:pPr>
      <w:r>
        <w:rPr>
          <w:rFonts w:ascii="Times New Roman" w:hAnsi="Times New Roman" w:cs="Times New Roman"/>
          <w:b/>
          <w:i/>
        </w:rPr>
        <w:t>Percentage Ash = c – a/b-a*100</w:t>
      </w:r>
    </w:p>
    <w:p>
      <w:pPr>
        <w:pStyle w:val="18"/>
        <w:tabs>
          <w:tab w:val="left" w:pos="540"/>
          <w:tab w:val="left" w:pos="1170"/>
        </w:tabs>
        <w:spacing w:after="0" w:line="480" w:lineRule="auto"/>
        <w:ind w:left="0"/>
        <w:jc w:val="both"/>
        <w:rPr>
          <w:rFonts w:ascii="Times New Roman" w:hAnsi="Times New Roman" w:cs="Times New Roman"/>
        </w:rPr>
      </w:pPr>
      <w:r>
        <w:rPr>
          <w:rFonts w:ascii="Times New Roman" w:hAnsi="Times New Roman" w:cs="Times New Roman"/>
        </w:rPr>
        <w:t>The portion of sample which burnt off is organic matters. Therefore the percentage organic matters was determined thus:</w:t>
      </w:r>
    </w:p>
    <w:p>
      <w:pPr>
        <w:pStyle w:val="18"/>
        <w:tabs>
          <w:tab w:val="left" w:pos="540"/>
          <w:tab w:val="left" w:pos="1170"/>
        </w:tabs>
        <w:spacing w:after="0" w:line="480" w:lineRule="auto"/>
        <w:ind w:left="0"/>
        <w:jc w:val="center"/>
        <w:rPr>
          <w:rFonts w:ascii="Times New Roman" w:hAnsi="Times New Roman" w:cs="Times New Roman"/>
          <w:b/>
        </w:rPr>
      </w:pPr>
      <w:r>
        <w:rPr>
          <w:rFonts w:ascii="Times New Roman" w:hAnsi="Times New Roman" w:cs="Times New Roman"/>
          <w:b/>
          <w:i/>
        </w:rPr>
        <w:t>Percentage organic matters = 100 – %Ash</w:t>
      </w:r>
      <w:r>
        <w:rPr>
          <w:rFonts w:ascii="Times New Roman" w:hAnsi="Times New Roman" w:cs="Times New Roman"/>
        </w:rPr>
        <w:t>.</w:t>
      </w:r>
    </w:p>
    <w:p>
      <w:pPr>
        <w:spacing w:after="0" w:line="480" w:lineRule="auto"/>
        <w:jc w:val="both"/>
        <w:rPr>
          <w:rFonts w:ascii="Times New Roman" w:hAnsi="Times New Roman" w:cs="Times New Roman"/>
          <w:i/>
        </w:rPr>
      </w:pPr>
      <w:r>
        <w:rPr>
          <w:rFonts w:ascii="Times New Roman" w:hAnsi="Times New Roman" w:cs="Times New Roman"/>
          <w:i/>
        </w:rPr>
        <w:t>2.5.4 Crude fiber estimation</w:t>
      </w:r>
    </w:p>
    <w:p>
      <w:pPr>
        <w:tabs>
          <w:tab w:val="left" w:pos="540"/>
          <w:tab w:val="left" w:pos="1170"/>
        </w:tabs>
        <w:spacing w:after="0" w:line="480" w:lineRule="auto"/>
        <w:jc w:val="both"/>
        <w:rPr>
          <w:rFonts w:ascii="Times New Roman" w:hAnsi="Times New Roman" w:cs="Times New Roman"/>
        </w:rPr>
      </w:pPr>
      <w:r>
        <w:rPr>
          <w:rFonts w:ascii="Times New Roman" w:hAnsi="Times New Roman" w:cs="Times New Roman"/>
        </w:rPr>
        <w:t>To estimate crude fibre, 2 grammes of sample was defatted with petroleum ether for 2 hours, boiled under reflux for 30 minutes with 200 ml of a solution containing 1.25% of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for 100 ml solution. Residue was obtained by filtering the solution through linen fixed on a fluted funnel washed with boiling water until the washing was no longer acidic. This was transferred to a beaker and boiled for another 30 minutes with 200 ml of a solution containing 1.20 g of NaOH for 100 ml. The final residue was filtered and washed with boiling water several times until it is base (NaOH) free. The residue was finally washed twice with ethanol, and qualitatively transferred into a pre-weight crucible, oven dried at 105</w:t>
      </w:r>
      <w:r>
        <w:rPr>
          <w:rFonts w:ascii="Times New Roman" w:hAnsi="Times New Roman" w:cs="Times New Roman"/>
          <w:vertAlign w:val="superscript"/>
        </w:rPr>
        <w:t>o</w:t>
      </w:r>
      <w:r>
        <w:rPr>
          <w:rFonts w:ascii="Times New Roman" w:hAnsi="Times New Roman" w:cs="Times New Roman"/>
        </w:rPr>
        <w:t>C (W</w:t>
      </w:r>
      <w:r>
        <w:rPr>
          <w:rFonts w:ascii="Times New Roman" w:hAnsi="Times New Roman" w:cs="Times New Roman"/>
          <w:vertAlign w:val="subscript"/>
        </w:rPr>
        <w:t>1</w:t>
      </w:r>
      <w:r>
        <w:rPr>
          <w:rFonts w:ascii="Times New Roman" w:hAnsi="Times New Roman" w:cs="Times New Roman"/>
        </w:rPr>
        <w:t>). This was incinerated in a furnace at 550</w:t>
      </w:r>
      <w:r>
        <w:rPr>
          <w:rFonts w:ascii="Times New Roman" w:hAnsi="Times New Roman" w:cs="Times New Roman"/>
          <w:vertAlign w:val="superscript"/>
        </w:rPr>
        <w:t>o</w:t>
      </w:r>
      <w:r>
        <w:rPr>
          <w:rFonts w:ascii="Times New Roman" w:hAnsi="Times New Roman" w:cs="Times New Roman"/>
        </w:rPr>
        <w:t>C for 2 hours (W</w:t>
      </w:r>
      <w:r>
        <w:rPr>
          <w:rFonts w:ascii="Times New Roman" w:hAnsi="Times New Roman" w:cs="Times New Roman"/>
          <w:vertAlign w:val="subscript"/>
        </w:rPr>
        <w:t>2</w:t>
      </w:r>
      <w:r>
        <w:rPr>
          <w:rFonts w:ascii="Times New Roman" w:hAnsi="Times New Roman" w:cs="Times New Roman"/>
        </w:rPr>
        <w:t>). It was then cooled in a desiccator and weighed. Loss in weight after incineration was also taken. Crude fibre content was calculated as follows:</w:t>
      </w:r>
    </w:p>
    <w:p>
      <w:pPr>
        <w:pStyle w:val="18"/>
        <w:tabs>
          <w:tab w:val="left" w:pos="540"/>
          <w:tab w:val="left" w:pos="1170"/>
        </w:tabs>
        <w:spacing w:after="0" w:line="480" w:lineRule="auto"/>
        <w:jc w:val="both"/>
        <w:rPr>
          <w:rFonts w:ascii="Times New Roman" w:hAnsi="Times New Roman" w:cs="Times New Roman"/>
          <w:b/>
          <w:i/>
        </w:rPr>
      </w:pPr>
      <w:r>
        <w:rPr>
          <w:rFonts w:ascii="Times New Roman" w:hAnsi="Times New Roman" w:cs="Times New Roman"/>
        </w:rPr>
        <w:t xml:space="preserve">         </w:t>
      </w:r>
      <w:r>
        <w:rPr>
          <w:rFonts w:ascii="Times New Roman" w:hAnsi="Times New Roman" w:cs="Times New Roman"/>
          <w:b/>
          <w:i/>
        </w:rPr>
        <w:t>Percentage crude fibre = W</w:t>
      </w:r>
      <w:r>
        <w:rPr>
          <w:rFonts w:ascii="Times New Roman" w:hAnsi="Times New Roman" w:cs="Times New Roman"/>
          <w:b/>
          <w:i/>
          <w:vertAlign w:val="subscript"/>
        </w:rPr>
        <w:t>2</w:t>
      </w:r>
      <w:r>
        <w:rPr>
          <w:rFonts w:ascii="Times New Roman" w:hAnsi="Times New Roman" w:cs="Times New Roman"/>
          <w:b/>
          <w:i/>
        </w:rPr>
        <w:t xml:space="preserve"> – W</w:t>
      </w:r>
      <w:r>
        <w:rPr>
          <w:rFonts w:ascii="Times New Roman" w:hAnsi="Times New Roman" w:cs="Times New Roman"/>
          <w:b/>
          <w:i/>
          <w:vertAlign w:val="subscript"/>
        </w:rPr>
        <w:t xml:space="preserve">1 </w:t>
      </w:r>
      <w:r>
        <w:rPr>
          <w:rFonts w:ascii="Times New Roman" w:hAnsi="Times New Roman" w:cs="Times New Roman"/>
          <w:b/>
          <w:i/>
        </w:rPr>
        <w:t>/Weight of original sample taken*100</w:t>
      </w:r>
    </w:p>
    <w:p>
      <w:pPr>
        <w:spacing w:after="0" w:line="480" w:lineRule="auto"/>
        <w:jc w:val="both"/>
        <w:rPr>
          <w:rFonts w:ascii="Times New Roman" w:hAnsi="Times New Roman" w:cs="Times New Roman"/>
          <w:i/>
        </w:rPr>
      </w:pPr>
    </w:p>
    <w:p>
      <w:pPr>
        <w:spacing w:after="0" w:line="480" w:lineRule="auto"/>
        <w:jc w:val="both"/>
        <w:rPr>
          <w:rFonts w:ascii="Times New Roman" w:hAnsi="Times New Roman" w:cs="Times New Roman"/>
          <w:i/>
        </w:rPr>
      </w:pPr>
      <w:r>
        <w:rPr>
          <w:rFonts w:ascii="Times New Roman" w:hAnsi="Times New Roman" w:cs="Times New Roman"/>
          <w:i/>
        </w:rPr>
        <w:t>2.5.5 Ether extract determination</w:t>
      </w:r>
    </w:p>
    <w:p>
      <w:pPr>
        <w:tabs>
          <w:tab w:val="left" w:pos="540"/>
          <w:tab w:val="left" w:pos="1170"/>
        </w:tabs>
        <w:spacing w:after="0" w:line="480" w:lineRule="auto"/>
        <w:jc w:val="both"/>
        <w:rPr>
          <w:rFonts w:ascii="Times New Roman" w:hAnsi="Times New Roman" w:cs="Times New Roman"/>
        </w:rPr>
      </w:pPr>
      <w:r>
        <w:rPr>
          <w:rFonts w:ascii="Times New Roman" w:hAnsi="Times New Roman" w:cs="Times New Roman"/>
        </w:rPr>
        <w:t>Two grammes of the sample was weighed into a thoroughly-washed and oven-dried extractor thimble and plugged lightly with cotton wool. Next, 150 ml of petroleum ether (boiling point 60 – 80</w:t>
      </w:r>
      <w:r>
        <w:rPr>
          <w:rFonts w:ascii="Times New Roman" w:hAnsi="Times New Roman" w:cs="Times New Roman"/>
          <w:vertAlign w:val="superscript"/>
        </w:rPr>
        <w:t>o</w:t>
      </w:r>
      <w:r>
        <w:rPr>
          <w:rFonts w:ascii="Times New Roman" w:hAnsi="Times New Roman" w:cs="Times New Roman"/>
        </w:rPr>
        <w:t>C) was formed into a 250 ml round bottom flask. The Soxhlet extractor was fitted into the round bottom flask on a heated mantle. The Soxhlet apparatus was assembled and allowed to reflux for about 4 hours and the extract was poured into a dried pre-weighed beaker (W</w:t>
      </w:r>
      <w:r>
        <w:rPr>
          <w:rFonts w:ascii="Times New Roman" w:hAnsi="Times New Roman" w:cs="Times New Roman"/>
          <w:vertAlign w:val="subscript"/>
        </w:rPr>
        <w:t>1</w:t>
      </w:r>
      <w:r>
        <w:rPr>
          <w:rFonts w:ascii="Times New Roman" w:hAnsi="Times New Roman" w:cs="Times New Roman"/>
        </w:rPr>
        <w:t>) and the thimble was rinsed with a little quantity of the ether back to the beaker. The beaker was oven-heated to drive off the excess solvent. The beaker was cooled in a desiccator and weighed (W</w:t>
      </w:r>
      <w:r>
        <w:rPr>
          <w:rFonts w:ascii="Times New Roman" w:hAnsi="Times New Roman" w:cs="Times New Roman"/>
          <w:vertAlign w:val="subscript"/>
        </w:rPr>
        <w:t>2</w:t>
      </w:r>
      <w:r>
        <w:rPr>
          <w:rFonts w:ascii="Times New Roman" w:hAnsi="Times New Roman" w:cs="Times New Roman"/>
        </w:rPr>
        <w:t>). Crude fat was estimated thus:</w:t>
      </w:r>
    </w:p>
    <w:p>
      <w:pPr>
        <w:tabs>
          <w:tab w:val="left" w:pos="540"/>
          <w:tab w:val="left" w:pos="1170"/>
        </w:tabs>
        <w:spacing w:after="0" w:line="240" w:lineRule="auto"/>
        <w:jc w:val="center"/>
        <w:rPr>
          <w:rFonts w:ascii="Times New Roman" w:hAnsi="Times New Roman" w:cs="Times New Roman"/>
          <w:b/>
          <w:i/>
        </w:rPr>
      </w:pPr>
      <w:r>
        <w:rPr>
          <w:rFonts w:ascii="Times New Roman" w:hAnsi="Times New Roman" w:cs="Times New Roman"/>
          <w:b/>
          <w:i/>
        </w:rPr>
        <w:t>Percentage Ether Extract = W</w:t>
      </w:r>
      <w:r>
        <w:rPr>
          <w:rFonts w:ascii="Times New Roman" w:hAnsi="Times New Roman" w:cs="Times New Roman"/>
          <w:b/>
          <w:i/>
          <w:vertAlign w:val="subscript"/>
        </w:rPr>
        <w:t>2</w:t>
      </w:r>
      <w:r>
        <w:rPr>
          <w:rFonts w:ascii="Times New Roman" w:hAnsi="Times New Roman" w:cs="Times New Roman"/>
          <w:b/>
          <w:i/>
        </w:rPr>
        <w:t xml:space="preserve"> – W</w:t>
      </w:r>
      <w:r>
        <w:rPr>
          <w:rFonts w:ascii="Times New Roman" w:hAnsi="Times New Roman" w:cs="Times New Roman"/>
          <w:b/>
          <w:i/>
          <w:vertAlign w:val="subscript"/>
        </w:rPr>
        <w:t>1</w:t>
      </w:r>
      <w:r>
        <w:rPr>
          <w:rFonts w:ascii="Times New Roman" w:hAnsi="Times New Roman" w:cs="Times New Roman"/>
          <w:b/>
          <w:i/>
        </w:rPr>
        <w:t>/weight of sample*100</w:t>
      </w:r>
    </w:p>
    <w:p>
      <w:pPr>
        <w:spacing w:before="240"/>
        <w:jc w:val="both"/>
        <w:rPr>
          <w:rFonts w:ascii="Times New Roman" w:hAnsi="Times New Roman" w:cs="Times New Roman"/>
          <w:i/>
        </w:rPr>
      </w:pPr>
      <w:r>
        <w:rPr>
          <w:rFonts w:ascii="Times New Roman" w:hAnsi="Times New Roman" w:cs="Times New Roman"/>
          <w:i/>
        </w:rPr>
        <w:t xml:space="preserve">2.5.6 Crude protein determination </w:t>
      </w:r>
    </w:p>
    <w:p>
      <w:pPr>
        <w:pStyle w:val="18"/>
        <w:spacing w:line="480" w:lineRule="auto"/>
        <w:ind w:left="0"/>
        <w:jc w:val="both"/>
        <w:rPr>
          <w:rFonts w:ascii="Times New Roman" w:hAnsi="Times New Roman" w:cs="Times New Roman"/>
          <w:b/>
        </w:rPr>
      </w:pPr>
      <w:r>
        <w:rPr>
          <w:rFonts w:ascii="Times New Roman" w:hAnsi="Times New Roman" w:cs="Times New Roman"/>
          <w:i/>
        </w:rPr>
        <w:t>The crude protein content was determined by Kjeldahl method.</w:t>
      </w:r>
      <w:r>
        <w:rPr>
          <w:rFonts w:ascii="Times New Roman" w:hAnsi="Times New Roman" w:cs="Times New Roman"/>
        </w:rPr>
        <w:t xml:space="preserve"> One gramme of the sample was put in a standard 250 ml Kjeldahl flask containing 1.5 g of CuSO</w:t>
      </w:r>
      <w:r>
        <w:rPr>
          <w:rFonts w:ascii="Times New Roman" w:hAnsi="Times New Roman" w:cs="Times New Roman"/>
          <w:vertAlign w:val="subscript"/>
        </w:rPr>
        <w:t xml:space="preserve">4 </w:t>
      </w:r>
      <w:r>
        <w:rPr>
          <w:rFonts w:ascii="Times New Roman" w:hAnsi="Times New Roman" w:cs="Times New Roman"/>
        </w:rPr>
        <w:t>and 1.5 g of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as catalyst and 5 ml concentrated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The Kjeldahl flask (digestion) was heated gently to prevent frothing for some hours until clear bluish solution was obtained, allowed to cool and quantitatively transferred to 100 ml standard flask and made up to the mark with distilled water. Twenty (20) milligrams of the digest were pipetted into a semi micro Kjeldahl distillation apparatus and treated with equal volume of 40% NaOH solution. The ammonia evolved was steamed, distilled into a 100 ml conical flask containing 100 ml solution of saturated boric to which 2 drops of Tashirus indicators (double indicator) has been added. The tip of the condenser was immersed into the boric acid double inductor and then the distillation continued until about 2/3 of the original volume obtained. The tip of the condenser was rinsed with a few millimeters of distilled water in the distillate which was then titrated with 0.1 M. HCL until a purple-pink end point was observed (Sample titre, T</w:t>
      </w:r>
      <w:r>
        <w:rPr>
          <w:rFonts w:ascii="Times New Roman" w:hAnsi="Times New Roman" w:cs="Times New Roman"/>
          <w:vertAlign w:val="subscript"/>
        </w:rPr>
        <w:t>1</w:t>
      </w:r>
      <w:r>
        <w:rPr>
          <w:rFonts w:ascii="Times New Roman" w:hAnsi="Times New Roman" w:cs="Times New Roman"/>
        </w:rPr>
        <w:t>). The blank determination was also carried out in similar manner except for the omission of the sample (Blank titer, T</w:t>
      </w:r>
      <w:r>
        <w:rPr>
          <w:rFonts w:ascii="Times New Roman" w:hAnsi="Times New Roman" w:cs="Times New Roman"/>
          <w:vertAlign w:val="subscript"/>
        </w:rPr>
        <w:t>1</w:t>
      </w:r>
      <w:r>
        <w:rPr>
          <w:rFonts w:ascii="Times New Roman" w:hAnsi="Times New Roman" w:cs="Times New Roman"/>
        </w:rPr>
        <w:t>). The crude protein was obtained by multiplying the % nitrogen content by a factor (6.25). Percentage crude protein is estimated thus:</w:t>
      </w:r>
      <w:r>
        <w:rPr>
          <w:rFonts w:ascii="Times New Roman" w:hAnsi="Times New Roman" w:cs="Times New Roman"/>
          <w:b/>
        </w:rPr>
        <w:t xml:space="preserve">  </w:t>
      </w:r>
    </w:p>
    <w:p>
      <w:pPr>
        <w:spacing w:after="0" w:line="240" w:lineRule="auto"/>
        <w:jc w:val="center"/>
        <w:rPr>
          <w:rFonts w:ascii="Times New Roman" w:hAnsi="Times New Roman" w:cs="Times New Roman"/>
          <w:b/>
          <w:i/>
        </w:rPr>
      </w:pPr>
      <w:r>
        <w:rPr>
          <w:rFonts w:ascii="Times New Roman" w:hAnsi="Times New Roman" w:cs="Times New Roman"/>
          <w:b/>
          <w:i/>
        </w:rPr>
        <w:t>Percentage crude protein = T</w:t>
      </w:r>
      <w:r>
        <w:rPr>
          <w:rFonts w:ascii="Times New Roman" w:hAnsi="Times New Roman" w:cs="Times New Roman"/>
          <w:b/>
          <w:i/>
          <w:vertAlign w:val="subscript"/>
        </w:rPr>
        <w:t>1</w:t>
      </w:r>
      <w:r>
        <w:rPr>
          <w:rFonts w:ascii="Times New Roman" w:hAnsi="Times New Roman" w:cs="Times New Roman"/>
          <w:b/>
          <w:i/>
        </w:rPr>
        <w:t>-T</w:t>
      </w:r>
      <w:r>
        <w:rPr>
          <w:rFonts w:ascii="Times New Roman" w:hAnsi="Times New Roman" w:cs="Times New Roman"/>
          <w:b/>
          <w:i/>
          <w:vertAlign w:val="subscript"/>
        </w:rPr>
        <w:t>2</w:t>
      </w:r>
      <w:r>
        <w:rPr>
          <w:rFonts w:ascii="Times New Roman" w:hAnsi="Times New Roman" w:cs="Times New Roman"/>
          <w:b/>
          <w:i/>
        </w:rPr>
        <w:t xml:space="preserve"> x 0.1 x 0.04 x 20 x 100)/weight of sample x 6.25/10</w:t>
      </w:r>
    </w:p>
    <w:p>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p>
    <w:p>
      <w:pPr>
        <w:spacing w:after="0" w:line="48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Note</w:t>
      </w:r>
      <w:r>
        <w:rPr>
          <w:rFonts w:ascii="Times New Roman" w:hAnsi="Times New Roman" w:cs="Times New Roman"/>
          <w:b/>
        </w:rPr>
        <w:t xml:space="preserve">: </w:t>
      </w:r>
      <w:r>
        <w:rPr>
          <w:rFonts w:ascii="Times New Roman" w:hAnsi="Times New Roman" w:cs="Times New Roman"/>
        </w:rPr>
        <w:t>Most protein contain about 16% Nitrogen; that is 16 mg</w:t>
      </w:r>
      <w:r>
        <w:rPr>
          <w:rFonts w:ascii="Times New Roman" w:hAnsi="Times New Roman" w:cs="Times New Roman"/>
          <w:b/>
        </w:rPr>
        <w:t xml:space="preserve">. </w:t>
      </w:r>
      <w:r>
        <w:rPr>
          <w:rFonts w:ascii="Times New Roman" w:hAnsi="Times New Roman" w:cs="Times New Roman"/>
        </w:rPr>
        <w:t>Nitrogen</w:t>
      </w:r>
      <w:r>
        <w:rPr>
          <w:rFonts w:ascii="Times New Roman" w:hAnsi="Times New Roman" w:cs="Times New Roman"/>
          <w:vertAlign w:val="subscript"/>
        </w:rPr>
        <w:t xml:space="preserve"> </w:t>
      </w:r>
      <w:r>
        <w:rPr>
          <w:rFonts w:ascii="Times New Roman" w:hAnsi="Times New Roman" w:cs="Times New Roman"/>
        </w:rPr>
        <w:t>equals 100 mg protein</w:t>
      </w:r>
      <w:r>
        <w:rPr>
          <w:rFonts w:ascii="Times New Roman" w:hAnsi="Times New Roman" w:cs="Times New Roman"/>
          <w:b/>
        </w:rPr>
        <w:t xml:space="preserve">, </w:t>
      </w:r>
      <w:r>
        <w:rPr>
          <w:rFonts w:ascii="Times New Roman" w:hAnsi="Times New Roman" w:cs="Times New Roman"/>
        </w:rPr>
        <w:t>therefore one milligram of nitrogen equals</w:t>
      </w:r>
      <w:r>
        <w:rPr>
          <w:rFonts w:ascii="Times New Roman" w:hAnsi="Times New Roman" w:cs="Times New Roman"/>
          <w:b/>
        </w:rPr>
        <w:t xml:space="preserve"> </w:t>
      </w:r>
      <w:r>
        <w:rPr>
          <w:rFonts w:ascii="Times New Roman" w:hAnsi="Times New Roman" w:cs="Times New Roman"/>
        </w:rPr>
        <w:t>100/16 equals to 6.25 mg of protein</w:t>
      </w:r>
      <w:r>
        <w:rPr>
          <w:rFonts w:ascii="Times New Roman" w:hAnsi="Times New Roman" w:cs="Times New Roman"/>
          <w:b/>
        </w:rPr>
        <w:t xml:space="preserve">. </w:t>
      </w:r>
      <w:r>
        <w:rPr>
          <w:rFonts w:ascii="Times New Roman" w:hAnsi="Times New Roman" w:cs="Times New Roman"/>
        </w:rPr>
        <w:t>The Nitrogen value is therefore multiplied by 6.25 to get the weight of protein.</w:t>
      </w:r>
    </w:p>
    <w:p>
      <w:pPr>
        <w:spacing w:after="0" w:line="480" w:lineRule="auto"/>
        <w:jc w:val="both"/>
        <w:rPr>
          <w:rFonts w:ascii="Times New Roman" w:hAnsi="Times New Roman" w:cs="Times New Roman"/>
          <w:i/>
        </w:rPr>
      </w:pPr>
      <w:r>
        <w:rPr>
          <w:rFonts w:ascii="Times New Roman" w:hAnsi="Times New Roman" w:cs="Times New Roman"/>
          <w:i/>
        </w:rPr>
        <w:t xml:space="preserve">2.5.7 Estimation of Nitrogen free </w:t>
      </w:r>
    </w:p>
    <w:p>
      <w:pPr>
        <w:spacing w:after="0" w:line="480" w:lineRule="auto"/>
        <w:jc w:val="both"/>
        <w:rPr>
          <w:rFonts w:ascii="Times New Roman" w:hAnsi="Times New Roman" w:cs="Times New Roman"/>
          <w:i/>
        </w:rPr>
      </w:pPr>
      <w:r>
        <w:rPr>
          <w:rFonts w:ascii="Times New Roman" w:hAnsi="Times New Roman" w:cs="Times New Roman"/>
        </w:rPr>
        <w:t xml:space="preserve">Nitrogen free Extract (NFE) was determined as the difference obtained after subtracting total organic Nitrogen (protein) lipid, ash and fibre from the total dry matter thus: </w:t>
      </w:r>
    </w:p>
    <w:p>
      <w:pPr>
        <w:spacing w:before="240" w:after="0" w:line="480" w:lineRule="auto"/>
        <w:jc w:val="center"/>
        <w:rPr>
          <w:rFonts w:ascii="Times New Roman" w:hAnsi="Times New Roman" w:cs="Times New Roman"/>
          <w:i/>
        </w:rPr>
      </w:pPr>
      <w:r>
        <w:rPr>
          <w:rFonts w:ascii="Times New Roman" w:hAnsi="Times New Roman" w:cs="Times New Roman"/>
          <w:b/>
          <w:i/>
        </w:rPr>
        <w:t>Percentage</w:t>
      </w:r>
      <w:r>
        <w:rPr>
          <w:rFonts w:ascii="Times New Roman" w:hAnsi="Times New Roman" w:cs="Times New Roman"/>
          <w:i/>
        </w:rPr>
        <w:t xml:space="preserve"> </w:t>
      </w:r>
      <w:r>
        <w:rPr>
          <w:rStyle w:val="12"/>
          <w:rFonts w:ascii="Times New Roman" w:hAnsi="Times New Roman" w:cs="Times New Roman"/>
          <w:i/>
          <w:shd w:val="clear" w:color="auto" w:fill="FFFFFF"/>
        </w:rPr>
        <w:t>Nitrogen Free Extract = 100 % – (% EE + % CP + % Ash + % CF)</w:t>
      </w:r>
      <w:r>
        <w:rPr>
          <w:rFonts w:ascii="Times New Roman" w:hAnsi="Times New Roman" w:cs="Times New Roman"/>
          <w:i/>
          <w:shd w:val="clear" w:color="auto" w:fill="FFFFFF"/>
        </w:rPr>
        <w:t>.</w:t>
      </w:r>
    </w:p>
    <w:p>
      <w:pPr>
        <w:spacing w:after="0" w:line="480" w:lineRule="auto"/>
        <w:jc w:val="both"/>
        <w:rPr>
          <w:rFonts w:ascii="Times New Roman" w:hAnsi="Times New Roman" w:cs="Times New Roman"/>
          <w:i/>
        </w:rPr>
      </w:pPr>
      <w:r>
        <w:rPr>
          <w:rFonts w:ascii="Times New Roman" w:hAnsi="Times New Roman" w:cs="Times New Roman"/>
          <w:i/>
        </w:rPr>
        <w:t>2.5.8 Estimation of calorific value (energy)</w:t>
      </w:r>
    </w:p>
    <w:p>
      <w:pPr>
        <w:spacing w:after="0" w:line="480" w:lineRule="auto"/>
        <w:jc w:val="both"/>
        <w:rPr>
          <w:rFonts w:ascii="Times New Roman" w:hAnsi="Times New Roman" w:cs="Times New Roman"/>
          <w:i/>
        </w:rPr>
      </w:pPr>
      <w:r>
        <w:rPr>
          <w:rFonts w:ascii="Times New Roman" w:hAnsi="Times New Roman" w:cs="Times New Roman"/>
          <w:shd w:val="clear" w:color="auto" w:fill="FFFFFF"/>
        </w:rPr>
        <w:t xml:space="preserve">The Atwater system </w:t>
      </w:r>
      <w:r>
        <w:rPr>
          <w:rFonts w:ascii="Times New Roman" w:hAnsi="Times New Roman" w:cs="Times New Roman"/>
          <w:vertAlign w:val="superscript"/>
        </w:rPr>
        <w:t>[17]</w:t>
      </w:r>
      <w:r>
        <w:rPr>
          <w:rFonts w:ascii="Times New Roman" w:hAnsi="Times New Roman" w:cs="Times New Roman"/>
          <w:shd w:val="clear" w:color="auto" w:fill="FFFFFF"/>
        </w:rPr>
        <w:t> was used in the determination of the total calorific value of the sample by employing the 4-9-4 method. This system applies energy conversion factors to the macronutrients carbohydrate, fat, protein and fiber.</w:t>
      </w:r>
    </w:p>
    <w:p>
      <w:pPr>
        <w:pStyle w:val="18"/>
        <w:spacing w:before="240" w:after="0" w:line="480" w:lineRule="auto"/>
        <w:ind w:hanging="720"/>
        <w:jc w:val="both"/>
        <w:rPr>
          <w:rFonts w:ascii="Times New Roman" w:hAnsi="Times New Roman" w:cs="Times New Roman"/>
          <w:i/>
        </w:rPr>
      </w:pPr>
      <w:r>
        <w:rPr>
          <w:rFonts w:ascii="Times New Roman" w:hAnsi="Times New Roman" w:cs="Times New Roman"/>
          <w:i/>
        </w:rPr>
        <w:t xml:space="preserve">2.6 Statistical Analysis </w:t>
      </w:r>
    </w:p>
    <w:p>
      <w:pPr>
        <w:pStyle w:val="20"/>
        <w:spacing w:line="480" w:lineRule="auto"/>
        <w:ind w:left="0" w:firstLine="0"/>
        <w:rPr>
          <w:rFonts w:ascii="Times New Roman" w:hAnsi="Times New Roman"/>
          <w:lang w:val="en-GB"/>
        </w:rPr>
      </w:pPr>
      <w:r>
        <w:rPr>
          <w:rFonts w:ascii="Times New Roman" w:hAnsi="Times New Roman"/>
        </w:rPr>
        <w:t xml:space="preserve">Data on microbial and fungal loads on the body, gut and shell </w:t>
      </w:r>
      <w:r>
        <w:rPr>
          <w:rFonts w:ascii="Times New Roman" w:hAnsi="Times New Roman"/>
          <w:lang w:val="en-GB"/>
        </w:rPr>
        <w:t xml:space="preserve">were log transformed (log10) for the purpose of statistical analysis while those on </w:t>
      </w:r>
      <w:r>
        <w:rPr>
          <w:rFonts w:ascii="Times New Roman" w:hAnsi="Times New Roman"/>
        </w:rPr>
        <w:t xml:space="preserve">proximate composition were used directly. </w:t>
      </w:r>
      <w:r>
        <w:rPr>
          <w:rFonts w:ascii="Times New Roman" w:hAnsi="Times New Roman"/>
          <w:lang w:val="en-GB"/>
        </w:rPr>
        <w:t xml:space="preserve">One – way analysis of variance (ANOVA) was used to test the variation in mean values and </w:t>
      </w:r>
      <w:r>
        <w:rPr>
          <w:rFonts w:ascii="Times New Roman" w:hAnsi="Times New Roman"/>
        </w:rPr>
        <w:t xml:space="preserve">significance accepted at P≤0.05 level. </w:t>
      </w:r>
      <w:r>
        <w:rPr>
          <w:rFonts w:ascii="Times New Roman" w:hAnsi="Times New Roman"/>
          <w:lang w:val="en-GB"/>
        </w:rPr>
        <w:t xml:space="preserve">Where significant difference existed, </w:t>
      </w:r>
      <w:r>
        <w:rPr>
          <w:rFonts w:ascii="Times New Roman" w:hAnsi="Times New Roman"/>
          <w:i/>
          <w:lang w:val="en-GB"/>
        </w:rPr>
        <w:t>post hoc</w:t>
      </w:r>
      <w:r>
        <w:rPr>
          <w:rFonts w:ascii="Times New Roman" w:hAnsi="Times New Roman"/>
          <w:lang w:val="en-GB"/>
        </w:rPr>
        <w:t xml:space="preserve"> test was performed using Duncan Multiple Range Test </w:t>
      </w:r>
      <w:r>
        <w:rPr>
          <w:rFonts w:ascii="Times New Roman" w:hAnsi="Times New Roman"/>
        </w:rPr>
        <w:t>(DMRT). The IBM SPSS statistics version 20 computer program for Windows was used.</w:t>
      </w:r>
    </w:p>
    <w:p>
      <w:p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3. Results</w:t>
      </w:r>
    </w:p>
    <w:p>
      <w:pPr>
        <w:spacing w:after="0" w:line="480" w:lineRule="auto"/>
        <w:rPr>
          <w:rFonts w:ascii="Times New Roman" w:hAnsi="Times New Roman"/>
          <w:i/>
          <w:lang w:val="en-GB"/>
        </w:rPr>
      </w:pPr>
      <w:r>
        <w:rPr>
          <w:rFonts w:ascii="Times New Roman" w:hAnsi="Times New Roman"/>
          <w:bCs/>
          <w:i/>
          <w:lang w:val="en-GB"/>
        </w:rPr>
        <w:t>3.1</w:t>
      </w:r>
      <w:r>
        <w:rPr>
          <w:rFonts w:ascii="Times New Roman" w:hAnsi="Times New Roman"/>
          <w:i/>
          <w:lang w:val="en-GB"/>
        </w:rPr>
        <w:t xml:space="preserve"> </w:t>
      </w:r>
      <w:r>
        <w:rPr>
          <w:rFonts w:ascii="Times New Roman" w:hAnsi="Times New Roman"/>
          <w:bCs/>
          <w:i/>
          <w:lang w:val="en-GB"/>
        </w:rPr>
        <w:t>Characteristics of Bacterial Isolates</w:t>
      </w:r>
    </w:p>
    <w:p>
      <w:pPr>
        <w:spacing w:after="0" w:line="480" w:lineRule="auto"/>
        <w:jc w:val="both"/>
        <w:rPr>
          <w:rFonts w:ascii="Times New Roman" w:hAnsi="Times New Roman"/>
          <w:lang w:val="en-GB"/>
        </w:rPr>
      </w:pPr>
      <w:r>
        <w:rPr>
          <w:rFonts w:ascii="Times New Roman" w:hAnsi="Times New Roman"/>
          <w:lang w:val="en-GB"/>
        </w:rPr>
        <w:t xml:space="preserve">The cultural, morphological, structural and biochemical characteristics of bacterial isolates from </w:t>
      </w:r>
      <w:r>
        <w:rPr>
          <w:rFonts w:ascii="Times New Roman" w:hAnsi="Times New Roman"/>
          <w:i/>
        </w:rPr>
        <w:t>T.</w:t>
      </w:r>
      <w:r>
        <w:rPr>
          <w:rFonts w:ascii="Times New Roman" w:hAnsi="Times New Roman"/>
          <w:b/>
          <w:i/>
        </w:rPr>
        <w:t xml:space="preserve"> </w:t>
      </w:r>
      <w:r>
        <w:rPr>
          <w:rFonts w:ascii="Times New Roman" w:hAnsi="Times New Roman"/>
          <w:i/>
        </w:rPr>
        <w:t>adansonii</w:t>
      </w:r>
      <w:r>
        <w:rPr>
          <w:rFonts w:ascii="Times New Roman" w:hAnsi="Times New Roman"/>
          <w:b/>
        </w:rPr>
        <w:t xml:space="preserve"> </w:t>
      </w:r>
      <w:r>
        <w:rPr>
          <w:rFonts w:ascii="Times New Roman" w:hAnsi="Times New Roman"/>
          <w:lang w:val="en-GB"/>
        </w:rPr>
        <w:t xml:space="preserve">are presented in Table 1. </w:t>
      </w:r>
    </w:p>
    <w:p>
      <w:pPr>
        <w:spacing w:after="0" w:line="480" w:lineRule="auto"/>
        <w:jc w:val="both"/>
        <w:rPr>
          <w:rFonts w:ascii="Times New Roman" w:hAnsi="Times New Roman"/>
          <w:lang w:val="en-GB"/>
        </w:rPr>
      </w:pPr>
    </w:p>
    <w:p>
      <w:pPr>
        <w:spacing w:after="0" w:line="480" w:lineRule="auto"/>
        <w:jc w:val="both"/>
        <w:rPr>
          <w:rFonts w:ascii="Times New Roman" w:hAnsi="Times New Roman"/>
          <w:lang w:val="en-GB"/>
        </w:rPr>
      </w:pPr>
    </w:p>
    <w:p>
      <w:pPr>
        <w:spacing w:after="0" w:line="480" w:lineRule="auto"/>
        <w:jc w:val="both"/>
        <w:rPr>
          <w:rFonts w:ascii="Times New Roman" w:hAnsi="Times New Roman"/>
          <w:lang w:val="en-GB"/>
        </w:rPr>
      </w:pPr>
    </w:p>
    <w:p>
      <w:pPr>
        <w:spacing w:after="0" w:line="480" w:lineRule="auto"/>
        <w:jc w:val="both"/>
        <w:rPr>
          <w:rFonts w:ascii="Times New Roman" w:hAnsi="Times New Roman"/>
          <w:lang w:val="en-GB"/>
        </w:rPr>
      </w:pPr>
    </w:p>
    <w:tbl>
      <w:tblPr>
        <w:tblStyle w:val="19"/>
        <w:tblW w:w="10199" w:type="dxa"/>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327"/>
        <w:gridCol w:w="411"/>
        <w:gridCol w:w="411"/>
        <w:gridCol w:w="411"/>
        <w:gridCol w:w="566"/>
        <w:gridCol w:w="256"/>
        <w:gridCol w:w="411"/>
        <w:gridCol w:w="411"/>
        <w:gridCol w:w="411"/>
        <w:gridCol w:w="411"/>
        <w:gridCol w:w="411"/>
        <w:gridCol w:w="411"/>
        <w:gridCol w:w="448"/>
        <w:gridCol w:w="448"/>
        <w:gridCol w:w="448"/>
        <w:gridCol w:w="448"/>
        <w:gridCol w:w="448"/>
        <w:gridCol w:w="448"/>
        <w:gridCol w:w="448"/>
        <w:gridCol w:w="1363"/>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199" w:type="dxa"/>
            <w:gridSpan w:val="21"/>
            <w:tcBorders>
              <w:top w:val="nil"/>
              <w:bottom w:val="single" w:color="auto" w:sz="4" w:space="0"/>
            </w:tcBorders>
          </w:tcPr>
          <w:p>
            <w:pPr>
              <w:spacing w:after="0" w:line="240" w:lineRule="auto"/>
              <w:jc w:val="both"/>
              <w:rPr>
                <w:rFonts w:ascii="Palatino Linotype" w:hAnsi="Palatino Linotype" w:cs="Times New Roman"/>
                <w:b w:val="0"/>
                <w:bCs/>
                <w:sz w:val="36"/>
                <w:szCs w:val="36"/>
                <w:shd w:val="clear" w:color="auto" w:fill="FFFFFF"/>
              </w:rPr>
            </w:pPr>
            <w:r>
              <w:rPr>
                <w:rFonts w:ascii="Times New Roman" w:hAnsi="Times New Roman"/>
                <w:b w:val="0"/>
                <w:bCs/>
              </w:rPr>
              <w:t xml:space="preserve">Table 1: Cultural, Morphological, Structural and Biochemical Characteristic of Bacterial isolate from </w:t>
            </w:r>
            <w:r>
              <w:rPr>
                <w:rFonts w:ascii="Times New Roman" w:hAnsi="Times New Roman"/>
                <w:b w:val="0"/>
                <w:bCs/>
                <w:i/>
              </w:rPr>
              <w:t>Tagelus adansonii</w:t>
            </w:r>
            <w:r>
              <w:rPr>
                <w:rFonts w:ascii="Times New Roman" w:hAnsi="Times New Roman"/>
                <w:b w:val="0"/>
                <w:bCs/>
              </w:rPr>
              <w:t xml:space="preserve"> caught in </w:t>
            </w:r>
            <w:r>
              <w:rPr>
                <w:rFonts w:ascii="Times New Roman" w:hAnsi="Times New Roman" w:cs="Times New Roman"/>
                <w:b w:val="0"/>
                <w:bCs/>
              </w:rPr>
              <w:t>Mangrove Swamps of Iko Estuary, Southeast, Nigeria</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52" w:type="dxa"/>
            <w:tcBorders>
              <w:top w:val="single" w:color="auto" w:sz="4" w:space="0"/>
              <w:bottom w:val="single" w:color="auto" w:sz="4" w:space="0"/>
            </w:tcBorders>
          </w:tcPr>
          <w:p>
            <w:pPr>
              <w:pStyle w:val="20"/>
              <w:ind w:left="0" w:firstLine="0"/>
              <w:jc w:val="left"/>
              <w:rPr>
                <w:rFonts w:ascii="Times New Roman" w:hAnsi="Times New Roman"/>
                <w:b w:val="0"/>
                <w:bCs/>
                <w:sz w:val="16"/>
                <w:szCs w:val="16"/>
                <w:lang w:val="en-GB"/>
              </w:rPr>
            </w:pPr>
          </w:p>
          <w:p>
            <w:pPr>
              <w:pStyle w:val="20"/>
              <w:ind w:left="0" w:firstLine="0"/>
              <w:jc w:val="left"/>
              <w:rPr>
                <w:rFonts w:ascii="Times New Roman" w:hAnsi="Times New Roman"/>
                <w:b/>
                <w:bCs w:val="0"/>
                <w:sz w:val="16"/>
                <w:szCs w:val="16"/>
                <w:lang w:val="en-GB"/>
              </w:rPr>
            </w:pPr>
            <w:r>
              <w:rPr>
                <w:rFonts w:ascii="Times New Roman" w:hAnsi="Times New Roman"/>
                <w:b/>
                <w:bCs w:val="0"/>
                <w:sz w:val="16"/>
                <w:szCs w:val="16"/>
                <w:lang w:val="en-GB"/>
              </w:rPr>
              <w:t>Bacteria shape</w:t>
            </w:r>
          </w:p>
        </w:tc>
        <w:tc>
          <w:tcPr>
            <w:tcW w:w="327"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Gram reaction</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Catalase</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 xml:space="preserve">Coagulase </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Motility</w:t>
            </w:r>
          </w:p>
        </w:tc>
        <w:tc>
          <w:tcPr>
            <w:tcW w:w="566"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 xml:space="preserve">Starch          hydrolase </w:t>
            </w:r>
          </w:p>
        </w:tc>
        <w:tc>
          <w:tcPr>
            <w:tcW w:w="256"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Citrate</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Urease</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MR</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VP</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Form spore</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H</w:t>
            </w:r>
            <w:r>
              <w:rPr>
                <w:rFonts w:ascii="Times New Roman" w:hAnsi="Times New Roman"/>
                <w:sz w:val="16"/>
                <w:szCs w:val="16"/>
                <w:vertAlign w:val="subscript"/>
                <w:lang w:val="en-GB"/>
              </w:rPr>
              <w:t>2</w:t>
            </w:r>
            <w:r>
              <w:rPr>
                <w:rFonts w:ascii="Times New Roman" w:hAnsi="Times New Roman"/>
                <w:sz w:val="16"/>
                <w:szCs w:val="16"/>
                <w:lang w:val="en-GB"/>
              </w:rPr>
              <w:t>S</w:t>
            </w:r>
          </w:p>
        </w:tc>
        <w:tc>
          <w:tcPr>
            <w:tcW w:w="411"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Hae</w:t>
            </w:r>
          </w:p>
        </w:tc>
        <w:tc>
          <w:tcPr>
            <w:tcW w:w="448"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Glucose</w:t>
            </w:r>
          </w:p>
        </w:tc>
        <w:tc>
          <w:tcPr>
            <w:tcW w:w="448"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 xml:space="preserve">Maltose </w:t>
            </w:r>
          </w:p>
        </w:tc>
        <w:tc>
          <w:tcPr>
            <w:tcW w:w="448"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Lactose</w:t>
            </w:r>
          </w:p>
        </w:tc>
        <w:tc>
          <w:tcPr>
            <w:tcW w:w="448"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 xml:space="preserve">Fructose </w:t>
            </w:r>
          </w:p>
        </w:tc>
        <w:tc>
          <w:tcPr>
            <w:tcW w:w="448"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Sucrose</w:t>
            </w:r>
          </w:p>
        </w:tc>
        <w:tc>
          <w:tcPr>
            <w:tcW w:w="448"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Galactose</w:t>
            </w:r>
          </w:p>
        </w:tc>
        <w:tc>
          <w:tcPr>
            <w:tcW w:w="448" w:type="dxa"/>
            <w:tcBorders>
              <w:top w:val="single" w:color="auto" w:sz="4" w:space="0"/>
              <w:bottom w:val="single" w:color="auto" w:sz="4" w:space="0"/>
            </w:tcBorders>
            <w:textDirection w:val="btLr"/>
          </w:tcPr>
          <w:p>
            <w:pPr>
              <w:pStyle w:val="20"/>
              <w:ind w:left="0" w:firstLine="0"/>
              <w:jc w:val="left"/>
              <w:rPr>
                <w:rFonts w:ascii="Times New Roman" w:hAnsi="Times New Roman"/>
                <w:sz w:val="16"/>
                <w:szCs w:val="16"/>
                <w:lang w:val="en-GB"/>
              </w:rPr>
            </w:pPr>
            <w:r>
              <w:rPr>
                <w:rFonts w:ascii="Times New Roman" w:hAnsi="Times New Roman"/>
                <w:sz w:val="16"/>
                <w:szCs w:val="16"/>
                <w:lang w:val="en-GB"/>
              </w:rPr>
              <w:t xml:space="preserve">Mannitol </w:t>
            </w:r>
          </w:p>
        </w:tc>
        <w:tc>
          <w:tcPr>
            <w:tcW w:w="1363" w:type="dxa"/>
            <w:tcBorders>
              <w:top w:val="single" w:color="auto" w:sz="4" w:space="0"/>
              <w:bottom w:val="single" w:color="auto" w:sz="4" w:space="0"/>
            </w:tcBorders>
          </w:tcPr>
          <w:p>
            <w:pPr>
              <w:pStyle w:val="20"/>
              <w:ind w:left="0" w:firstLine="0"/>
              <w:jc w:val="left"/>
              <w:rPr>
                <w:rFonts w:ascii="Times New Roman" w:hAnsi="Times New Roman"/>
                <w:b/>
                <w:bCs/>
                <w:iCs/>
                <w:sz w:val="16"/>
                <w:szCs w:val="16"/>
                <w:lang w:val="en-GB"/>
              </w:rPr>
            </w:pPr>
          </w:p>
          <w:p>
            <w:pPr>
              <w:pStyle w:val="20"/>
              <w:ind w:left="0" w:firstLine="0"/>
              <w:jc w:val="left"/>
              <w:rPr>
                <w:rFonts w:ascii="Times New Roman" w:hAnsi="Times New Roman"/>
                <w:b/>
                <w:bCs/>
                <w:iCs/>
                <w:sz w:val="16"/>
                <w:szCs w:val="16"/>
                <w:lang w:val="en-GB"/>
              </w:rPr>
            </w:pPr>
          </w:p>
          <w:p>
            <w:pPr>
              <w:pStyle w:val="20"/>
              <w:ind w:left="0" w:firstLine="0"/>
              <w:jc w:val="left"/>
              <w:rPr>
                <w:rFonts w:ascii="Times New Roman" w:hAnsi="Times New Roman"/>
                <w:b/>
                <w:bCs/>
                <w:iCs/>
                <w:sz w:val="16"/>
                <w:szCs w:val="16"/>
                <w:lang w:val="en-GB"/>
              </w:rPr>
            </w:pPr>
            <w:r>
              <w:rPr>
                <w:rFonts w:ascii="Times New Roman" w:hAnsi="Times New Roman"/>
                <w:b/>
                <w:bCs/>
                <w:iCs/>
                <w:sz w:val="16"/>
                <w:szCs w:val="16"/>
                <w:lang w:val="en-GB"/>
              </w:rPr>
              <w:t>Probable organism</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 w:hRule="atLeast"/>
        </w:trPr>
        <w:tc>
          <w:tcPr>
            <w:tcW w:w="852" w:type="dxa"/>
            <w:tcBorders>
              <w:top w:val="single" w:color="auto" w:sz="4" w:space="0"/>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Rod</w:t>
            </w:r>
          </w:p>
        </w:tc>
        <w:tc>
          <w:tcPr>
            <w:tcW w:w="327"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single" w:color="auto" w:sz="4" w:space="0"/>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single" w:color="auto" w:sz="4" w:space="0"/>
              <w:bottom w:val="nil"/>
            </w:tcBorders>
          </w:tcPr>
          <w:p>
            <w:pPr>
              <w:pStyle w:val="20"/>
              <w:ind w:left="0" w:firstLine="0"/>
              <w:jc w:val="left"/>
              <w:rPr>
                <w:rFonts w:ascii="Times New Roman" w:hAnsi="Times New Roman"/>
                <w:i/>
                <w:iCs/>
                <w:sz w:val="16"/>
                <w:szCs w:val="16"/>
                <w:lang w:val="en-GB"/>
              </w:rPr>
            </w:pPr>
            <w:r>
              <w:rPr>
                <w:rFonts w:ascii="Times New Roman" w:hAnsi="Times New Roman"/>
                <w:i/>
                <w:iCs/>
                <w:sz w:val="16"/>
                <w:szCs w:val="16"/>
                <w:lang w:val="en-GB"/>
              </w:rPr>
              <w:t>B. subtilis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Cocci in pair</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20"/>
              <w:ind w:left="0" w:firstLine="0"/>
              <w:jc w:val="left"/>
              <w:rPr>
                <w:rFonts w:ascii="Times New Roman" w:hAnsi="Times New Roman"/>
                <w:i/>
                <w:iCs/>
                <w:sz w:val="16"/>
                <w:szCs w:val="16"/>
                <w:lang w:val="en-GB"/>
              </w:rPr>
            </w:pPr>
            <w:r>
              <w:rPr>
                <w:rFonts w:ascii="Times New Roman" w:hAnsi="Times New Roman"/>
                <w:i/>
                <w:iCs/>
                <w:sz w:val="16"/>
                <w:szCs w:val="16"/>
                <w:lang w:val="en-GB"/>
              </w:rPr>
              <w:t>Micrococcus sp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Rod</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i/>
                <w:iCs/>
                <w:sz w:val="16"/>
                <w:szCs w:val="16"/>
                <w:lang w:val="en-GB"/>
              </w:rPr>
              <w:t>Proteus sp</w:t>
            </w:r>
            <w:r>
              <w:rPr>
                <w:rFonts w:ascii="Times New Roman" w:hAnsi="Times New Roman"/>
                <w:sz w:val="16"/>
                <w:szCs w:val="16"/>
                <w:lang w:val="en-GB"/>
              </w:rPr>
              <w:t>.</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Rod</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i/>
                <w:iCs/>
                <w:sz w:val="16"/>
                <w:szCs w:val="16"/>
                <w:lang w:val="en-GB"/>
              </w:rPr>
              <w:t>Klebsiella sp</w:t>
            </w:r>
            <w:r>
              <w:rPr>
                <w:rFonts w:ascii="Times New Roman" w:hAnsi="Times New Roman"/>
                <w:sz w:val="16"/>
                <w:szCs w:val="16"/>
                <w:lang w:val="en-GB"/>
              </w:rPr>
              <w:t>.</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Cocci in cluster</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B</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1363"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i/>
                <w:iCs/>
                <w:sz w:val="16"/>
                <w:szCs w:val="16"/>
                <w:lang w:val="en-GB"/>
              </w:rPr>
              <w:t>Staphylococcus aureus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Cocci</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20"/>
              <w:ind w:left="0" w:firstLine="0"/>
              <w:jc w:val="left"/>
              <w:rPr>
                <w:rFonts w:ascii="Times New Roman" w:hAnsi="Times New Roman"/>
                <w:i/>
                <w:iCs/>
                <w:sz w:val="16"/>
                <w:szCs w:val="16"/>
                <w:lang w:val="en-GB"/>
              </w:rPr>
            </w:pPr>
            <w:r>
              <w:rPr>
                <w:rFonts w:ascii="Times New Roman" w:hAnsi="Times New Roman"/>
                <w:i/>
                <w:iCs/>
                <w:sz w:val="16"/>
                <w:szCs w:val="16"/>
                <w:lang w:val="en-GB"/>
              </w:rPr>
              <w:t>Vibrio chelera</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 xml:space="preserve">Rod </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20"/>
              <w:ind w:left="0" w:firstLine="0"/>
              <w:jc w:val="left"/>
              <w:rPr>
                <w:rFonts w:ascii="Times New Roman" w:hAnsi="Times New Roman"/>
                <w:i/>
                <w:iCs/>
                <w:sz w:val="16"/>
                <w:szCs w:val="16"/>
                <w:lang w:val="en-GB"/>
              </w:rPr>
            </w:pPr>
            <w:r>
              <w:rPr>
                <w:rFonts w:ascii="Times New Roman" w:hAnsi="Times New Roman"/>
                <w:i/>
                <w:iCs/>
                <w:sz w:val="16"/>
                <w:szCs w:val="16"/>
                <w:lang w:val="en-GB"/>
              </w:rPr>
              <w:t>Vibrio parahaemolyticus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 xml:space="preserve">Rod </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20"/>
              <w:ind w:left="0" w:firstLine="0"/>
              <w:jc w:val="left"/>
              <w:rPr>
                <w:rFonts w:ascii="Times New Roman" w:hAnsi="Times New Roman"/>
                <w:i/>
                <w:iCs/>
                <w:sz w:val="16"/>
                <w:szCs w:val="16"/>
                <w:lang w:val="en-GB"/>
              </w:rPr>
            </w:pPr>
            <w:r>
              <w:rPr>
                <w:rFonts w:ascii="Times New Roman" w:hAnsi="Times New Roman"/>
                <w:i/>
                <w:iCs/>
                <w:sz w:val="16"/>
                <w:szCs w:val="16"/>
                <w:lang w:val="en-GB"/>
              </w:rPr>
              <w:t>Enterobacter sp.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 xml:space="preserve">Rod </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bottom w:val="nil"/>
            </w:tcBorders>
          </w:tcPr>
          <w:p>
            <w:pPr>
              <w:pStyle w:val="20"/>
              <w:ind w:left="0" w:firstLine="0"/>
              <w:jc w:val="left"/>
              <w:rPr>
                <w:rFonts w:ascii="Times New Roman" w:hAnsi="Times New Roman"/>
                <w:i/>
                <w:iCs/>
                <w:sz w:val="16"/>
                <w:szCs w:val="16"/>
                <w:lang w:val="en-GB"/>
              </w:rPr>
            </w:pPr>
            <w:r>
              <w:rPr>
                <w:rFonts w:ascii="Times New Roman" w:hAnsi="Times New Roman"/>
                <w:i/>
                <w:iCs/>
                <w:sz w:val="16"/>
                <w:szCs w:val="16"/>
                <w:lang w:val="en-GB"/>
              </w:rPr>
              <w:t>Escherichia coli</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 w:type="dxa"/>
            <w:tcBorders>
              <w:top w:val="nil"/>
              <w:bottom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 xml:space="preserve">Rod </w:t>
            </w:r>
          </w:p>
        </w:tc>
        <w:tc>
          <w:tcPr>
            <w:tcW w:w="327"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bottom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1363" w:type="dxa"/>
            <w:tcBorders>
              <w:top w:val="nil"/>
              <w:bottom w:val="nil"/>
            </w:tcBorders>
          </w:tcPr>
          <w:p>
            <w:pPr>
              <w:pStyle w:val="20"/>
              <w:ind w:left="0" w:firstLine="0"/>
              <w:jc w:val="left"/>
              <w:rPr>
                <w:rFonts w:ascii="Times New Roman" w:hAnsi="Times New Roman"/>
                <w:i/>
                <w:iCs/>
                <w:sz w:val="16"/>
                <w:szCs w:val="16"/>
                <w:lang w:val="en-GB"/>
              </w:rPr>
            </w:pPr>
            <w:r>
              <w:rPr>
                <w:rFonts w:ascii="Times New Roman" w:hAnsi="Times New Roman"/>
                <w:i/>
                <w:iCs/>
                <w:sz w:val="16"/>
                <w:szCs w:val="16"/>
                <w:lang w:val="en-GB"/>
              </w:rPr>
              <w:t xml:space="preserve">Bacillus cereus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52" w:type="dxa"/>
            <w:tcBorders>
              <w:top w:val="nil"/>
            </w:tcBorders>
          </w:tcPr>
          <w:p>
            <w:pPr>
              <w:pStyle w:val="20"/>
              <w:ind w:left="0" w:firstLine="0"/>
              <w:jc w:val="left"/>
              <w:rPr>
                <w:rFonts w:ascii="Times New Roman" w:hAnsi="Times New Roman"/>
                <w:b w:val="0"/>
                <w:bCs/>
                <w:sz w:val="16"/>
                <w:szCs w:val="16"/>
                <w:lang w:val="en-GB"/>
              </w:rPr>
            </w:pPr>
            <w:r>
              <w:rPr>
                <w:rFonts w:ascii="Times New Roman" w:hAnsi="Times New Roman"/>
                <w:b w:val="0"/>
                <w:bCs/>
                <w:sz w:val="16"/>
                <w:szCs w:val="16"/>
                <w:lang w:val="en-GB"/>
              </w:rPr>
              <w:t>Rod</w:t>
            </w:r>
          </w:p>
        </w:tc>
        <w:tc>
          <w:tcPr>
            <w:tcW w:w="327"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566"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256"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11"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w:t>
            </w:r>
          </w:p>
        </w:tc>
        <w:tc>
          <w:tcPr>
            <w:tcW w:w="448"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w:t>
            </w:r>
          </w:p>
        </w:tc>
        <w:tc>
          <w:tcPr>
            <w:tcW w:w="448" w:type="dxa"/>
            <w:tcBorders>
              <w:top w:val="nil"/>
            </w:tcBorders>
          </w:tcPr>
          <w:p>
            <w:pPr>
              <w:pStyle w:val="20"/>
              <w:ind w:left="0" w:firstLine="0"/>
              <w:jc w:val="left"/>
              <w:rPr>
                <w:rFonts w:ascii="Times New Roman" w:hAnsi="Times New Roman"/>
                <w:sz w:val="16"/>
                <w:szCs w:val="16"/>
                <w:lang w:val="en-GB"/>
              </w:rPr>
            </w:pPr>
            <w:r>
              <w:rPr>
                <w:rFonts w:ascii="Times New Roman" w:hAnsi="Times New Roman"/>
                <w:sz w:val="16"/>
                <w:szCs w:val="16"/>
                <w:lang w:val="en-GB"/>
              </w:rPr>
              <w:t>AG</w:t>
            </w:r>
          </w:p>
        </w:tc>
        <w:tc>
          <w:tcPr>
            <w:tcW w:w="448" w:type="dxa"/>
            <w:tcBorders>
              <w:top w:val="nil"/>
            </w:tcBorders>
          </w:tcPr>
          <w:p>
            <w:pPr>
              <w:pStyle w:val="20"/>
              <w:jc w:val="left"/>
              <w:rPr>
                <w:rFonts w:ascii="Times New Roman" w:hAnsi="Times New Roman"/>
                <w:sz w:val="16"/>
                <w:szCs w:val="16"/>
                <w:lang w:val="en-GB"/>
              </w:rPr>
            </w:pPr>
            <w:r>
              <w:rPr>
                <w:rFonts w:ascii="Times New Roman" w:hAnsi="Times New Roman"/>
                <w:sz w:val="16"/>
                <w:szCs w:val="16"/>
                <w:lang w:val="en-GB"/>
              </w:rPr>
              <w:t>-</w:t>
            </w:r>
          </w:p>
        </w:tc>
        <w:tc>
          <w:tcPr>
            <w:tcW w:w="1363" w:type="dxa"/>
            <w:tcBorders>
              <w:top w:val="nil"/>
            </w:tcBorders>
          </w:tcPr>
          <w:p>
            <w:pPr>
              <w:pStyle w:val="20"/>
              <w:ind w:left="0" w:firstLine="0"/>
              <w:jc w:val="left"/>
              <w:rPr>
                <w:rFonts w:ascii="Times New Roman" w:hAnsi="Times New Roman"/>
                <w:i/>
                <w:iCs/>
                <w:sz w:val="16"/>
                <w:szCs w:val="16"/>
                <w:lang w:val="en-GB"/>
              </w:rPr>
            </w:pPr>
            <w:r>
              <w:rPr>
                <w:rFonts w:ascii="Times New Roman" w:hAnsi="Times New Roman"/>
                <w:i/>
                <w:iCs/>
                <w:sz w:val="16"/>
                <w:szCs w:val="16"/>
                <w:lang w:val="en-GB"/>
              </w:rPr>
              <w:t>Chromatium sp.</w:t>
            </w:r>
          </w:p>
        </w:tc>
      </w:tr>
    </w:tbl>
    <w:p>
      <w:pPr>
        <w:pStyle w:val="20"/>
        <w:ind w:left="0" w:firstLine="0"/>
        <w:rPr>
          <w:rFonts w:ascii="Times New Roman" w:hAnsi="Times New Roman"/>
          <w:sz w:val="16"/>
          <w:szCs w:val="16"/>
          <w:lang w:val="en-GB"/>
        </w:rPr>
      </w:pPr>
      <w:r>
        <w:rPr>
          <w:rFonts w:ascii="Times New Roman" w:hAnsi="Times New Roman"/>
          <w:sz w:val="16"/>
          <w:szCs w:val="16"/>
          <w:lang w:val="en-GB"/>
        </w:rPr>
        <w:t xml:space="preserve"> </w:t>
      </w:r>
    </w:p>
    <w:p>
      <w:pPr>
        <w:pStyle w:val="20"/>
        <w:spacing w:before="240" w:line="480" w:lineRule="auto"/>
        <w:ind w:left="0" w:firstLine="0"/>
        <w:rPr>
          <w:rFonts w:ascii="Times New Roman" w:hAnsi="Times New Roman"/>
        </w:rPr>
      </w:pPr>
      <w:r>
        <w:rPr>
          <w:rFonts w:ascii="Times New Roman" w:hAnsi="Times New Roman"/>
          <w:lang w:val="en-GB"/>
        </w:rPr>
        <w:t xml:space="preserve">The isolates were: </w:t>
      </w:r>
      <w:r>
        <w:rPr>
          <w:rFonts w:ascii="Times New Roman" w:hAnsi="Times New Roman"/>
          <w:i/>
        </w:rPr>
        <w:t xml:space="preserve">Bacillus substilis, Micrococcus sp, Proteus sp, Klebsella sp, Staphylococcus aureus, Vibrio cholera, Vibrio parahaemolyticus, Enterobacter sp, Escherichia coli, Bacillus cereus </w:t>
      </w:r>
      <w:r>
        <w:rPr>
          <w:rFonts w:ascii="Times New Roman" w:hAnsi="Times New Roman"/>
        </w:rPr>
        <w:t xml:space="preserve">and </w:t>
      </w:r>
      <w:r>
        <w:rPr>
          <w:rFonts w:ascii="Times New Roman" w:hAnsi="Times New Roman"/>
          <w:i/>
          <w:iCs/>
        </w:rPr>
        <w:t>Chromatium</w:t>
      </w:r>
      <w:r>
        <w:rPr>
          <w:rFonts w:ascii="Times New Roman" w:hAnsi="Times New Roman"/>
        </w:rPr>
        <w:t xml:space="preserve"> sp.</w:t>
      </w:r>
    </w:p>
    <w:p>
      <w:pPr>
        <w:pStyle w:val="20"/>
        <w:spacing w:before="240" w:line="480" w:lineRule="auto"/>
        <w:ind w:left="0" w:firstLine="0"/>
        <w:rPr>
          <w:rFonts w:ascii="Times New Roman" w:hAnsi="Times New Roman"/>
          <w:i/>
        </w:rPr>
      </w:pPr>
      <w:r>
        <w:rPr>
          <w:rFonts w:ascii="Times New Roman" w:hAnsi="Times New Roman"/>
          <w:bCs/>
          <w:i/>
        </w:rPr>
        <w:t>3.2</w:t>
      </w:r>
      <w:r>
        <w:rPr>
          <w:rFonts w:ascii="Times New Roman" w:hAnsi="Times New Roman"/>
          <w:i/>
        </w:rPr>
        <w:t xml:space="preserve"> </w:t>
      </w:r>
      <w:r>
        <w:rPr>
          <w:rFonts w:ascii="Times New Roman" w:hAnsi="Times New Roman"/>
          <w:bCs/>
          <w:i/>
          <w:lang w:val="en-GB"/>
        </w:rPr>
        <w:t>Characteristics of Fungal Isolates</w:t>
      </w:r>
    </w:p>
    <w:p>
      <w:pPr>
        <w:spacing w:after="0" w:line="480" w:lineRule="auto"/>
        <w:jc w:val="both"/>
        <w:rPr>
          <w:rFonts w:ascii="Times New Roman" w:hAnsi="Times New Roman"/>
        </w:rPr>
      </w:pPr>
      <w:r>
        <w:rPr>
          <w:rFonts w:ascii="Times New Roman" w:hAnsi="Times New Roman"/>
        </w:rPr>
        <w:t xml:space="preserve">The type of fungal pigmentation, soma, special vegetative structure, asexual spore, special reproductive structure, conidial head, vesicles shape and nature of hyphae identify were used to isolate </w:t>
      </w:r>
      <w:r>
        <w:rPr>
          <w:rFonts w:ascii="Times New Roman" w:hAnsi="Times New Roman"/>
          <w:i/>
        </w:rPr>
        <w:t>Rhizopus stolonifer</w:t>
      </w:r>
      <w:r>
        <w:rPr>
          <w:rFonts w:ascii="Times New Roman" w:hAnsi="Times New Roman"/>
        </w:rPr>
        <w:t xml:space="preserve">, </w:t>
      </w:r>
      <w:r>
        <w:rPr>
          <w:rFonts w:ascii="Times New Roman" w:hAnsi="Times New Roman"/>
          <w:i/>
        </w:rPr>
        <w:t>Aspergillus niger, Penicillium sp,</w:t>
      </w:r>
      <w:r>
        <w:rPr>
          <w:rFonts w:ascii="Times New Roman" w:hAnsi="Times New Roman"/>
          <w:i/>
          <w:iCs/>
        </w:rPr>
        <w:t xml:space="preserve"> Candida tropicalis,</w:t>
      </w:r>
      <w:r>
        <w:rPr>
          <w:rFonts w:ascii="Times New Roman" w:hAnsi="Times New Roman"/>
          <w:i/>
        </w:rPr>
        <w:t xml:space="preserve"> Fusarium sp, and</w:t>
      </w:r>
      <w:r>
        <w:rPr>
          <w:rFonts w:ascii="Times New Roman" w:hAnsi="Times New Roman"/>
        </w:rPr>
        <w:t xml:space="preserve"> </w:t>
      </w:r>
      <w:r>
        <w:rPr>
          <w:rFonts w:ascii="Times New Roman" w:hAnsi="Times New Roman"/>
          <w:i/>
        </w:rPr>
        <w:t>Aspergillus flavus</w:t>
      </w:r>
      <w:r>
        <w:rPr>
          <w:rFonts w:ascii="Times New Roman" w:hAnsi="Times New Roman"/>
        </w:rPr>
        <w:t xml:space="preserve"> as probable fungi found in</w:t>
      </w:r>
      <w:r>
        <w:rPr>
          <w:rFonts w:ascii="Times New Roman" w:hAnsi="Times New Roman"/>
          <w:b/>
          <w:i/>
        </w:rPr>
        <w:t xml:space="preserve"> </w:t>
      </w:r>
      <w:r>
        <w:rPr>
          <w:rFonts w:ascii="Times New Roman" w:hAnsi="Times New Roman"/>
          <w:i/>
        </w:rPr>
        <w:t>T. adansonii.</w:t>
      </w:r>
      <w:r>
        <w:rPr>
          <w:rFonts w:ascii="Times New Roman" w:hAnsi="Times New Roman"/>
        </w:rPr>
        <w:t xml:space="preserve"> This is shown in Table 2.</w:t>
      </w:r>
    </w:p>
    <w:tbl>
      <w:tblPr>
        <w:tblStyle w:val="9"/>
        <w:tblW w:w="0" w:type="auto"/>
        <w:tblInd w:w="-142"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7"/>
        <w:gridCol w:w="1015"/>
        <w:gridCol w:w="959"/>
        <w:gridCol w:w="1016"/>
        <w:gridCol w:w="1317"/>
        <w:gridCol w:w="1362"/>
        <w:gridCol w:w="780"/>
        <w:gridCol w:w="774"/>
        <w:gridCol w:w="964"/>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68" w:type="dxa"/>
            <w:gridSpan w:val="9"/>
            <w:tcBorders>
              <w:top w:val="nil"/>
              <w:bottom w:val="single" w:color="auto" w:sz="4" w:space="0"/>
            </w:tcBorders>
            <w:shd w:val="clear" w:color="auto" w:fill="auto"/>
          </w:tcPr>
          <w:p>
            <w:pPr>
              <w:pStyle w:val="20"/>
              <w:ind w:left="0" w:firstLine="0"/>
              <w:rPr>
                <w:rFonts w:ascii="Times New Roman" w:hAnsi="Times New Roman"/>
                <w:bCs/>
              </w:rPr>
            </w:pPr>
            <w:r>
              <w:rPr>
                <w:rFonts w:ascii="Times New Roman" w:hAnsi="Times New Roman"/>
                <w:bCs/>
              </w:rPr>
              <w:t xml:space="preserve">Table 2: Cultural, Morphological, Structural and Biochemical Characteristic of Fungal isolates from </w:t>
            </w:r>
            <w:r>
              <w:rPr>
                <w:rFonts w:ascii="Times New Roman" w:hAnsi="Times New Roman"/>
                <w:bCs/>
                <w:i/>
              </w:rPr>
              <w:t>Tagelus adansonii</w:t>
            </w:r>
            <w:r>
              <w:rPr>
                <w:rFonts w:ascii="Times New Roman" w:hAnsi="Times New Roman"/>
                <w:bCs/>
              </w:rPr>
              <w:t xml:space="preserve"> from </w:t>
            </w:r>
            <w:r>
              <w:rPr>
                <w:rFonts w:ascii="Times New Roman" w:hAnsi="Times New Roman"/>
              </w:rPr>
              <w:t>caught in Mangrove Swamps of Iko Estuary, Southeast, Nigeria</w:t>
            </w:r>
            <w:r>
              <w:rPr>
                <w:rFonts w:ascii="Times New Roman" w:hAnsi="Times New Roman"/>
                <w:bCs/>
              </w:rPr>
              <w:t>.</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Pigmentation</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Type of Soma</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Nature of hyphae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Special vegetable structure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Asexual spore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Special reproductive structure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Conidial head</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Vesicles shape</w:t>
            </w:r>
          </w:p>
        </w:tc>
        <w:tc>
          <w:tcPr>
            <w:tcW w:w="0" w:type="auto"/>
            <w:tcBorders>
              <w:top w:val="single" w:color="auto" w:sz="4" w:space="0"/>
              <w:bottom w:val="single" w:color="auto" w:sz="4" w:space="0"/>
            </w:tcBorders>
            <w:shd w:val="clear" w:color="auto" w:fill="auto"/>
          </w:tcPr>
          <w:p>
            <w:pPr>
              <w:spacing w:after="0" w:line="240" w:lineRule="auto"/>
              <w:rPr>
                <w:rFonts w:ascii="Times New Roman" w:hAnsi="Times New Roman" w:eastAsia="Calibri" w:cs="Times New Roman"/>
                <w:iCs/>
                <w:sz w:val="16"/>
                <w:szCs w:val="16"/>
              </w:rPr>
            </w:pPr>
            <w:r>
              <w:rPr>
                <w:rFonts w:ascii="Times New Roman" w:hAnsi="Times New Roman" w:eastAsia="Calibri" w:cs="Times New Roman"/>
                <w:iCs/>
                <w:sz w:val="16"/>
                <w:szCs w:val="16"/>
              </w:rPr>
              <w:t>Probable organism</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1197" w:type="dxa"/>
            <w:tcBorders>
              <w:top w:val="single" w:color="auto" w:sz="4" w:space="0"/>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White becoming greyish</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Coenocytic</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Stolon rhizoids</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Ovoid sporangiospores</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Tall sporangiophores in group, black brown sporangia</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single" w:color="auto" w:sz="4" w:space="0"/>
              <w:bottom w:val="nil"/>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Rhizopus stolonifer</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Black colony</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Foot cell</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 conidia</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Smooth wall erects conidiophores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w:t>
            </w:r>
          </w:p>
        </w:tc>
        <w:tc>
          <w:tcPr>
            <w:tcW w:w="0" w:type="auto"/>
            <w:tcBorders>
              <w:top w:val="nil"/>
              <w:bottom w:val="nil"/>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Aspergillus niger</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Dark green colony</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Broom like appearance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 conidia produce in long columnar</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Erect conidiophores terminating in whorls of phialides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nil"/>
              <w:bottom w:val="nil"/>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Penicillum sp</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Creamy white colony</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Pseudo-hyphae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Apothelium</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Blastoconidia</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Conidia</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Radiate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w:t>
            </w:r>
          </w:p>
        </w:tc>
        <w:tc>
          <w:tcPr>
            <w:tcW w:w="0" w:type="auto"/>
            <w:tcBorders>
              <w:top w:val="nil"/>
              <w:bottom w:val="nil"/>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Candida tropicalis</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nil"/>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pink</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Micro conidia</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Short branch conidiophores</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 xml:space="preserve">       -</w:t>
            </w:r>
          </w:p>
        </w:tc>
        <w:tc>
          <w:tcPr>
            <w:tcW w:w="0" w:type="auto"/>
            <w:tcBorders>
              <w:top w:val="nil"/>
              <w:bottom w:val="nil"/>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i/>
                <w:iCs/>
                <w:sz w:val="16"/>
                <w:szCs w:val="16"/>
              </w:rPr>
              <w:t>Fusarium</w:t>
            </w:r>
            <w:r>
              <w:rPr>
                <w:rFonts w:ascii="Times New Roman" w:hAnsi="Times New Roman" w:eastAsia="Calibri" w:cs="Times New Roman"/>
                <w:sz w:val="16"/>
                <w:szCs w:val="16"/>
              </w:rPr>
              <w:t xml:space="preserve"> sp</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bottom w:val="single" w:color="BFBFBF" w:sz="4" w:space="0"/>
            </w:tcBorders>
            <w:shd w:val="clear" w:color="auto" w:fill="auto"/>
          </w:tcPr>
          <w:p>
            <w:pPr>
              <w:spacing w:after="0" w:line="240" w:lineRule="auto"/>
              <w:rPr>
                <w:rFonts w:ascii="Times New Roman" w:hAnsi="Times New Roman" w:eastAsia="Calibri" w:cs="Times New Roman"/>
                <w:b/>
                <w:bCs/>
                <w:sz w:val="16"/>
                <w:szCs w:val="16"/>
              </w:rPr>
            </w:pPr>
            <w:r>
              <w:rPr>
                <w:rFonts w:ascii="Times New Roman" w:hAnsi="Times New Roman" w:eastAsia="Calibri" w:cs="Times New Roman"/>
                <w:b/>
                <w:bCs/>
                <w:sz w:val="16"/>
                <w:szCs w:val="16"/>
              </w:rPr>
              <w:t>Yellow</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Filamentous</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Septate</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Foot cell</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Globose conidia</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Phialides born directly on the vesicle sclerotia</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Radiate</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sz w:val="16"/>
                <w:szCs w:val="16"/>
              </w:rPr>
            </w:pPr>
            <w:r>
              <w:rPr>
                <w:rFonts w:ascii="Times New Roman" w:hAnsi="Times New Roman" w:eastAsia="Calibri" w:cs="Times New Roman"/>
                <w:sz w:val="16"/>
                <w:szCs w:val="16"/>
              </w:rPr>
              <w:t>Sub-globose</w:t>
            </w:r>
          </w:p>
        </w:tc>
        <w:tc>
          <w:tcPr>
            <w:tcW w:w="0" w:type="auto"/>
            <w:tcBorders>
              <w:top w:val="nil"/>
              <w:bottom w:val="single" w:color="BFBFBF" w:sz="4" w:space="0"/>
            </w:tcBorders>
            <w:shd w:val="clear" w:color="auto" w:fill="auto"/>
          </w:tcPr>
          <w:p>
            <w:pPr>
              <w:spacing w:after="0" w:line="240" w:lineRule="auto"/>
              <w:rPr>
                <w:rFonts w:ascii="Times New Roman" w:hAnsi="Times New Roman" w:eastAsia="Calibri" w:cs="Times New Roman"/>
                <w:i/>
                <w:iCs/>
                <w:sz w:val="16"/>
                <w:szCs w:val="16"/>
              </w:rPr>
            </w:pPr>
            <w:r>
              <w:rPr>
                <w:rFonts w:ascii="Times New Roman" w:hAnsi="Times New Roman" w:eastAsia="Calibri" w:cs="Times New Roman"/>
                <w:i/>
                <w:iCs/>
                <w:sz w:val="16"/>
                <w:szCs w:val="16"/>
              </w:rPr>
              <w:t>Aspergillus flavus</w:t>
            </w:r>
          </w:p>
        </w:tc>
      </w:tr>
    </w:tbl>
    <w:p>
      <w:pPr>
        <w:spacing w:after="0" w:line="480" w:lineRule="auto"/>
        <w:jc w:val="both"/>
        <w:rPr>
          <w:rFonts w:ascii="Times New Roman" w:hAnsi="Times New Roman"/>
          <w:lang w:val="en-GB"/>
        </w:rPr>
      </w:pPr>
    </w:p>
    <w:p>
      <w:pPr>
        <w:spacing w:after="0" w:line="480" w:lineRule="auto"/>
        <w:jc w:val="both"/>
        <w:rPr>
          <w:rFonts w:ascii="Times New Roman" w:hAnsi="Times New Roman"/>
          <w:lang w:val="en-GB"/>
        </w:rPr>
      </w:pPr>
      <w:r>
        <w:rPr>
          <w:rFonts w:ascii="Times New Roman" w:hAnsi="Times New Roman"/>
          <w:lang w:val="en-GB"/>
        </w:rPr>
        <w:t>Table 3 shows the microbial loads of the sample. Mean THBC of 2.01×10</w:t>
      </w:r>
      <w:r>
        <w:rPr>
          <w:rFonts w:ascii="Times New Roman" w:hAnsi="Times New Roman"/>
          <w:vertAlign w:val="superscript"/>
          <w:lang w:val="en-GB"/>
        </w:rPr>
        <w:t>5</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 xml:space="preserve"> with the highest (2.83 ×10</w:t>
      </w:r>
      <w:r>
        <w:rPr>
          <w:rFonts w:ascii="Times New Roman" w:hAnsi="Times New Roman"/>
          <w:vertAlign w:val="superscript"/>
          <w:lang w:val="en-GB"/>
        </w:rPr>
        <w:t>5</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 in the gut and the least (1.60×10</w:t>
      </w:r>
      <w:r>
        <w:rPr>
          <w:rFonts w:ascii="Times New Roman" w:hAnsi="Times New Roman"/>
          <w:vertAlign w:val="superscript"/>
          <w:lang w:val="en-GB"/>
        </w:rPr>
        <w:t>5</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 seen in flesh. Mean THBC was significantly higher (P&lt;0.05) in the gut than in other body organs. Mean TVC was 2</w:t>
      </w:r>
      <w:r>
        <w:rPr>
          <w:rFonts w:ascii="Times New Roman" w:hAnsi="Times New Roman"/>
        </w:rPr>
        <w:t>.77</w:t>
      </w:r>
      <w:r>
        <w:rPr>
          <w:rFonts w:ascii="Times New Roman" w:hAnsi="Times New Roman"/>
          <w:b/>
          <w:bCs/>
        </w:rPr>
        <w:t xml:space="preserve"> </w:t>
      </w:r>
      <w:r>
        <w:rPr>
          <w:rFonts w:ascii="Times New Roman" w:hAnsi="Times New Roman"/>
          <w:lang w:val="en-GB"/>
        </w:rPr>
        <w:t>x10 cfu g</w:t>
      </w:r>
      <w:r>
        <w:rPr>
          <w:rFonts w:ascii="Times New Roman" w:hAnsi="Times New Roman"/>
          <w:vertAlign w:val="superscript"/>
          <w:lang w:val="en-GB"/>
        </w:rPr>
        <w:t>-1</w:t>
      </w:r>
      <w:r>
        <w:rPr>
          <w:rFonts w:ascii="Times New Roman" w:hAnsi="Times New Roman"/>
          <w:lang w:val="en-GB"/>
        </w:rPr>
        <w:t xml:space="preserve"> with the highest (2.90 x10 cfu g</w:t>
      </w:r>
      <w:r>
        <w:rPr>
          <w:rFonts w:ascii="Times New Roman" w:hAnsi="Times New Roman"/>
          <w:vertAlign w:val="superscript"/>
          <w:lang w:val="en-GB"/>
        </w:rPr>
        <w:t>-1</w:t>
      </w:r>
      <w:r>
        <w:rPr>
          <w:rFonts w:ascii="Times New Roman" w:hAnsi="Times New Roman"/>
          <w:lang w:val="en-GB"/>
        </w:rPr>
        <w:t>) in flesh and least (2.68 x10 cfu g</w:t>
      </w:r>
      <w:r>
        <w:rPr>
          <w:rFonts w:ascii="Times New Roman" w:hAnsi="Times New Roman"/>
          <w:vertAlign w:val="superscript"/>
          <w:lang w:val="en-GB"/>
        </w:rPr>
        <w:t>-1</w:t>
      </w:r>
      <w:r>
        <w:rPr>
          <w:rFonts w:ascii="Times New Roman" w:hAnsi="Times New Roman"/>
          <w:lang w:val="en-GB"/>
        </w:rPr>
        <w:t>) in gut. However, there was no significant difference (P&lt;0.05) in the mean TVC among different organs. Mean TCC was 2.79 ×10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xml:space="preserve"> with the highest (2.88 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in gut and least (2.70 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xml:space="preserve">) in clam flesh. No significant difference (P&lt;0.05) in the mean TCC among different organs. </w:t>
      </w:r>
    </w:p>
    <w:p>
      <w:pPr>
        <w:spacing w:after="0" w:line="480" w:lineRule="auto"/>
        <w:jc w:val="both"/>
        <w:rPr>
          <w:rFonts w:ascii="Times New Roman" w:hAnsi="Times New Roman"/>
          <w:lang w:val="en-GB"/>
        </w:rPr>
      </w:pPr>
      <w:r>
        <w:rPr>
          <w:rFonts w:ascii="Times New Roman" w:hAnsi="Times New Roman"/>
          <w:lang w:val="en-GB"/>
        </w:rPr>
        <w:t>Mean TSC was 6.08 x 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xml:space="preserve"> with the highest (6.63x10</w:t>
      </w:r>
      <w:r>
        <w:rPr>
          <w:rFonts w:ascii="Times New Roman" w:hAnsi="Times New Roman"/>
          <w:vertAlign w:val="superscript"/>
          <w:lang w:val="en-GB"/>
        </w:rPr>
        <w:t xml:space="preserve">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in fresh and no staphylococcal count on the shell. Total staphylococcal count (TSC) was significantly higher (p&lt;0.05) in the flesh. Mean TFC was 2.08×10</w:t>
      </w:r>
      <w:r>
        <w:rPr>
          <w:rFonts w:ascii="Times New Roman" w:hAnsi="Times New Roman"/>
          <w:vertAlign w:val="superscript"/>
          <w:lang w:val="en-GB"/>
        </w:rPr>
        <w:t xml:space="preserve">4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xml:space="preserve"> with highest (2.30x10</w:t>
      </w:r>
      <w:r>
        <w:rPr>
          <w:rFonts w:ascii="Times New Roman" w:hAnsi="Times New Roman"/>
          <w:vertAlign w:val="superscript"/>
          <w:lang w:val="en-GB"/>
        </w:rPr>
        <w:t xml:space="preserve">4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in clam gut and least (1.72 10</w:t>
      </w:r>
      <w:r>
        <w:rPr>
          <w:rFonts w:ascii="Times New Roman" w:hAnsi="Times New Roman"/>
          <w:vertAlign w:val="superscript"/>
          <w:lang w:val="en-GB"/>
        </w:rPr>
        <w:t xml:space="preserve">4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 in shell. Total fungal count (TFC) was significantly higher (p&lt;0.05) in the gut and flesh than the shell.</w:t>
      </w:r>
    </w:p>
    <w:tbl>
      <w:tblPr>
        <w:tblStyle w:val="9"/>
        <w:tblW w:w="0" w:type="auto"/>
        <w:tblInd w:w="0" w:type="dxa"/>
        <w:tblLayout w:type="autofit"/>
        <w:tblCellMar>
          <w:top w:w="0" w:type="dxa"/>
          <w:left w:w="108" w:type="dxa"/>
          <w:bottom w:w="0" w:type="dxa"/>
          <w:right w:w="108" w:type="dxa"/>
        </w:tblCellMar>
      </w:tblPr>
      <w:tblGrid>
        <w:gridCol w:w="1715"/>
        <w:gridCol w:w="1505"/>
        <w:gridCol w:w="1498"/>
        <w:gridCol w:w="1505"/>
        <w:gridCol w:w="1506"/>
        <w:gridCol w:w="1513"/>
      </w:tblGrid>
      <w:tr>
        <w:tblPrEx>
          <w:tblCellMar>
            <w:top w:w="0" w:type="dxa"/>
            <w:left w:w="108" w:type="dxa"/>
            <w:bottom w:w="0" w:type="dxa"/>
            <w:right w:w="108" w:type="dxa"/>
          </w:tblCellMar>
        </w:tblPrEx>
        <w:trPr>
          <w:trHeight w:val="119" w:hRule="atLeast"/>
        </w:trPr>
        <w:tc>
          <w:tcPr>
            <w:tcW w:w="0" w:type="auto"/>
            <w:gridSpan w:val="6"/>
            <w:tcBorders>
              <w:bottom w:val="single" w:color="auto" w:sz="4" w:space="0"/>
            </w:tcBorders>
            <w:shd w:val="clear" w:color="auto" w:fill="auto"/>
          </w:tcPr>
          <w:p>
            <w:pPr>
              <w:pStyle w:val="2"/>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Table 3: Microbial load (cfu g</w:t>
            </w:r>
            <w:r>
              <w:rPr>
                <w:rFonts w:ascii="Times New Roman" w:hAnsi="Times New Roman" w:cs="Times New Roman"/>
                <w:color w:val="auto"/>
                <w:sz w:val="22"/>
                <w:szCs w:val="22"/>
                <w:vertAlign w:val="superscript"/>
                <w:lang w:val="en-GB"/>
              </w:rPr>
              <w:t>-1</w:t>
            </w:r>
            <w:r>
              <w:rPr>
                <w:rFonts w:ascii="Times New Roman" w:hAnsi="Times New Roman" w:cs="Times New Roman"/>
                <w:color w:val="auto"/>
                <w:sz w:val="22"/>
                <w:szCs w:val="22"/>
                <w:lang w:val="en-GB"/>
              </w:rPr>
              <w:t xml:space="preserve">) of </w:t>
            </w:r>
            <w:r>
              <w:rPr>
                <w:rFonts w:ascii="Times New Roman" w:hAnsi="Times New Roman" w:cs="Times New Roman"/>
                <w:i/>
                <w:iCs/>
                <w:color w:val="auto"/>
                <w:sz w:val="22"/>
                <w:szCs w:val="22"/>
                <w:lang w:val="en-GB"/>
              </w:rPr>
              <w:t>Tagelus adansonii</w:t>
            </w:r>
            <w:r>
              <w:rPr>
                <w:rFonts w:ascii="Times New Roman" w:hAnsi="Times New Roman" w:cs="Times New Roman"/>
                <w:color w:val="auto"/>
                <w:sz w:val="22"/>
                <w:szCs w:val="22"/>
                <w:lang w:val="en-GB"/>
              </w:rPr>
              <w:t xml:space="preserve"> samples caught </w:t>
            </w:r>
            <w:r>
              <w:rPr>
                <w:rFonts w:ascii="Times New Roman" w:hAnsi="Times New Roman" w:cs="Times New Roman"/>
                <w:color w:val="auto"/>
                <w:sz w:val="22"/>
                <w:szCs w:val="22"/>
              </w:rPr>
              <w:t>caught in Mangrove Swamps of Iko Estuary, Southeast, Nigeria</w:t>
            </w:r>
          </w:p>
        </w:tc>
      </w:tr>
      <w:tr>
        <w:tblPrEx>
          <w:tblCellMar>
            <w:top w:w="0" w:type="dxa"/>
            <w:left w:w="108" w:type="dxa"/>
            <w:bottom w:w="0" w:type="dxa"/>
            <w:right w:w="108" w:type="dxa"/>
          </w:tblCellMar>
        </w:tblPrEx>
        <w:trPr>
          <w:trHeight w:val="157" w:hRule="atLeast"/>
        </w:trPr>
        <w:tc>
          <w:tcPr>
            <w:tcW w:w="0" w:type="auto"/>
            <w:tcBorders>
              <w:top w:val="single" w:color="auto" w:sz="4" w:space="0"/>
              <w:bottom w:val="single" w:color="auto" w:sz="4" w:space="0"/>
            </w:tcBorders>
            <w:shd w:val="clear" w:color="auto" w:fill="auto"/>
          </w:tcPr>
          <w:p>
            <w:pPr>
              <w:pStyle w:val="20"/>
              <w:rPr>
                <w:rFonts w:ascii="Times New Roman" w:hAnsi="Times New Roman"/>
                <w:lang w:val="en-GB"/>
              </w:rPr>
            </w:pPr>
            <w:r>
              <w:rPr>
                <w:rFonts w:ascii="Times New Roman" w:hAnsi="Times New Roman"/>
                <w:lang w:val="en-GB"/>
              </w:rPr>
              <w:t>Anatomical sites</w:t>
            </w:r>
          </w:p>
        </w:tc>
        <w:tc>
          <w:tcPr>
            <w:tcW w:w="0" w:type="auto"/>
            <w:tcBorders>
              <w:top w:val="single" w:color="auto" w:sz="4" w:space="0"/>
              <w:bottom w:val="single" w:color="auto" w:sz="4" w:space="0"/>
            </w:tcBorders>
            <w:shd w:val="clear" w:color="auto" w:fill="auto"/>
          </w:tcPr>
          <w:p>
            <w:pPr>
              <w:pStyle w:val="20"/>
              <w:rPr>
                <w:rFonts w:ascii="Times New Roman" w:hAnsi="Times New Roman"/>
                <w:lang w:val="en-GB"/>
              </w:rPr>
            </w:pPr>
            <w:r>
              <w:rPr>
                <w:rFonts w:ascii="Times New Roman" w:hAnsi="Times New Roman"/>
                <w:lang w:val="en-GB"/>
              </w:rPr>
              <w:t xml:space="preserve">THBC </w:t>
            </w:r>
          </w:p>
          <w:p>
            <w:pPr>
              <w:pStyle w:val="20"/>
              <w:rPr>
                <w:rFonts w:ascii="Times New Roman" w:hAnsi="Times New Roman"/>
                <w:lang w:val="en-GB"/>
              </w:rPr>
            </w:pPr>
            <w:r>
              <w:rPr>
                <w:rFonts w:ascii="Times New Roman" w:hAnsi="Times New Roman"/>
                <w:lang w:val="en-GB"/>
              </w:rPr>
              <w:t>(10</w:t>
            </w:r>
            <w:r>
              <w:rPr>
                <w:rFonts w:ascii="Times New Roman" w:hAnsi="Times New Roman"/>
                <w:vertAlign w:val="superscript"/>
                <w:lang w:val="en-GB"/>
              </w:rPr>
              <w:t xml:space="preserve">5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w:t>
            </w:r>
          </w:p>
        </w:tc>
        <w:tc>
          <w:tcPr>
            <w:tcW w:w="0" w:type="auto"/>
            <w:tcBorders>
              <w:top w:val="single" w:color="auto" w:sz="4" w:space="0"/>
              <w:bottom w:val="single" w:color="auto" w:sz="4" w:space="0"/>
            </w:tcBorders>
            <w:shd w:val="clear" w:color="auto" w:fill="auto"/>
          </w:tcPr>
          <w:p>
            <w:pPr>
              <w:pStyle w:val="20"/>
              <w:rPr>
                <w:rFonts w:ascii="Times New Roman" w:hAnsi="Times New Roman"/>
              </w:rPr>
            </w:pPr>
            <w:r>
              <w:rPr>
                <w:rFonts w:ascii="Times New Roman" w:hAnsi="Times New Roman"/>
              </w:rPr>
              <w:t xml:space="preserve">TVC </w:t>
            </w:r>
          </w:p>
          <w:p>
            <w:pPr>
              <w:pStyle w:val="20"/>
              <w:rPr>
                <w:rFonts w:ascii="Times New Roman" w:hAnsi="Times New Roman"/>
                <w:lang w:val="en-GB"/>
              </w:rPr>
            </w:pPr>
            <w:r>
              <w:rPr>
                <w:rFonts w:ascii="Times New Roman" w:hAnsi="Times New Roman"/>
              </w:rPr>
              <w:t>(</w:t>
            </w:r>
            <w:r>
              <w:rPr>
                <w:rFonts w:ascii="Times New Roman" w:hAnsi="Times New Roman"/>
                <w:lang w:val="en-GB"/>
              </w:rPr>
              <w:t>10</w:t>
            </w:r>
            <w:r>
              <w:rPr>
                <w:rFonts w:ascii="Times New Roman" w:hAnsi="Times New Roman"/>
                <w:vertAlign w:val="superscript"/>
                <w:lang w:val="en-GB"/>
              </w:rPr>
              <w:t xml:space="preserve">1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w:t>
            </w:r>
          </w:p>
        </w:tc>
        <w:tc>
          <w:tcPr>
            <w:tcW w:w="0" w:type="auto"/>
            <w:tcBorders>
              <w:top w:val="single" w:color="auto" w:sz="4" w:space="0"/>
              <w:bottom w:val="single" w:color="auto" w:sz="4" w:space="0"/>
            </w:tcBorders>
            <w:shd w:val="clear" w:color="auto" w:fill="auto"/>
          </w:tcPr>
          <w:p>
            <w:pPr>
              <w:pStyle w:val="20"/>
              <w:rPr>
                <w:rFonts w:ascii="Times New Roman" w:hAnsi="Times New Roman"/>
                <w:lang w:val="en-GB"/>
              </w:rPr>
            </w:pPr>
            <w:r>
              <w:rPr>
                <w:rFonts w:ascii="Times New Roman" w:hAnsi="Times New Roman"/>
                <w:lang w:val="en-GB"/>
              </w:rPr>
              <w:t xml:space="preserve">TCC </w:t>
            </w:r>
          </w:p>
          <w:p>
            <w:pPr>
              <w:pStyle w:val="20"/>
              <w:rPr>
                <w:rFonts w:ascii="Times New Roman" w:hAnsi="Times New Roman"/>
                <w:lang w:val="en-GB"/>
              </w:rPr>
            </w:pPr>
            <w:r>
              <w:rPr>
                <w:rFonts w:ascii="Times New Roman" w:hAnsi="Times New Roman"/>
                <w:lang w:val="en-GB"/>
              </w:rPr>
              <w:t>(10</w:t>
            </w:r>
            <w:r>
              <w:rPr>
                <w:rFonts w:ascii="Times New Roman" w:hAnsi="Times New Roman"/>
                <w:vertAlign w:val="superscript"/>
                <w:lang w:val="en-GB"/>
              </w:rPr>
              <w:t>1</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w:t>
            </w:r>
          </w:p>
        </w:tc>
        <w:tc>
          <w:tcPr>
            <w:tcW w:w="0" w:type="auto"/>
            <w:tcBorders>
              <w:top w:val="single" w:color="auto" w:sz="4" w:space="0"/>
              <w:bottom w:val="single" w:color="auto" w:sz="4" w:space="0"/>
            </w:tcBorders>
            <w:shd w:val="clear" w:color="auto" w:fill="auto"/>
          </w:tcPr>
          <w:p>
            <w:pPr>
              <w:pStyle w:val="20"/>
              <w:rPr>
                <w:rFonts w:ascii="Times New Roman" w:hAnsi="Times New Roman"/>
              </w:rPr>
            </w:pPr>
            <w:r>
              <w:rPr>
                <w:rFonts w:ascii="Times New Roman" w:hAnsi="Times New Roman"/>
              </w:rPr>
              <w:t xml:space="preserve">TSC </w:t>
            </w:r>
          </w:p>
          <w:p>
            <w:pPr>
              <w:pStyle w:val="20"/>
              <w:rPr>
                <w:rFonts w:ascii="Times New Roman" w:hAnsi="Times New Roman"/>
                <w:lang w:val="en-GB"/>
              </w:rPr>
            </w:pPr>
            <w:r>
              <w:rPr>
                <w:rFonts w:ascii="Times New Roman" w:hAnsi="Times New Roman"/>
              </w:rPr>
              <w:t>(</w:t>
            </w:r>
            <w:r>
              <w:rPr>
                <w:rFonts w:ascii="Times New Roman" w:hAnsi="Times New Roman"/>
                <w:lang w:val="en-GB"/>
              </w:rPr>
              <w:t>10</w:t>
            </w:r>
            <w:r>
              <w:rPr>
                <w:rFonts w:ascii="Times New Roman" w:hAnsi="Times New Roman"/>
                <w:vertAlign w:val="superscript"/>
                <w:lang w:val="en-GB"/>
              </w:rPr>
              <w:t xml:space="preserve">1 </w:t>
            </w:r>
            <w:r>
              <w:rPr>
                <w:rFonts w:ascii="Times New Roman" w:hAnsi="Times New Roman"/>
                <w:lang w:val="en-GB"/>
              </w:rPr>
              <w:t>cfu g</w:t>
            </w:r>
            <w:r>
              <w:rPr>
                <w:rFonts w:ascii="Times New Roman" w:hAnsi="Times New Roman"/>
                <w:vertAlign w:val="superscript"/>
                <w:lang w:val="en-GB"/>
              </w:rPr>
              <w:t>-1</w:t>
            </w:r>
            <w:r>
              <w:rPr>
                <w:rFonts w:ascii="Times New Roman" w:hAnsi="Times New Roman"/>
                <w:lang w:val="en-GB"/>
              </w:rPr>
              <w:t>)</w:t>
            </w:r>
          </w:p>
        </w:tc>
        <w:tc>
          <w:tcPr>
            <w:tcW w:w="0" w:type="auto"/>
            <w:tcBorders>
              <w:top w:val="single" w:color="auto" w:sz="4" w:space="0"/>
              <w:bottom w:val="single" w:color="auto" w:sz="4" w:space="0"/>
            </w:tcBorders>
            <w:shd w:val="clear" w:color="auto" w:fill="auto"/>
          </w:tcPr>
          <w:p>
            <w:pPr>
              <w:pStyle w:val="20"/>
              <w:rPr>
                <w:rFonts w:ascii="Times New Roman" w:hAnsi="Times New Roman"/>
                <w:lang w:val="en-GB"/>
              </w:rPr>
            </w:pPr>
            <w:r>
              <w:rPr>
                <w:rFonts w:ascii="Times New Roman" w:hAnsi="Times New Roman"/>
                <w:lang w:val="en-GB"/>
              </w:rPr>
              <w:t xml:space="preserve">TFC </w:t>
            </w:r>
          </w:p>
          <w:p>
            <w:pPr>
              <w:pStyle w:val="20"/>
              <w:rPr>
                <w:rFonts w:ascii="Times New Roman" w:hAnsi="Times New Roman"/>
                <w:lang w:val="en-GB"/>
              </w:rPr>
            </w:pPr>
            <w:r>
              <w:rPr>
                <w:rFonts w:ascii="Times New Roman" w:hAnsi="Times New Roman"/>
                <w:lang w:val="en-GB"/>
              </w:rPr>
              <w:t>(10</w:t>
            </w:r>
            <w:r>
              <w:rPr>
                <w:rFonts w:ascii="Times New Roman" w:hAnsi="Times New Roman"/>
                <w:vertAlign w:val="superscript"/>
                <w:lang w:val="en-GB"/>
              </w:rPr>
              <w:t>4</w:t>
            </w:r>
            <w:r>
              <w:rPr>
                <w:rFonts w:ascii="Times New Roman" w:hAnsi="Times New Roman"/>
                <w:lang w:val="en-GB"/>
              </w:rPr>
              <w:t xml:space="preserve"> cfu g</w:t>
            </w:r>
            <w:r>
              <w:rPr>
                <w:rFonts w:ascii="Times New Roman" w:hAnsi="Times New Roman"/>
                <w:vertAlign w:val="superscript"/>
                <w:lang w:val="en-GB"/>
              </w:rPr>
              <w:t>-1</w:t>
            </w:r>
            <w:r>
              <w:rPr>
                <w:rFonts w:ascii="Times New Roman" w:hAnsi="Times New Roman"/>
                <w:lang w:val="en-GB"/>
              </w:rPr>
              <w:t>)</w:t>
            </w:r>
          </w:p>
        </w:tc>
      </w:tr>
      <w:tr>
        <w:tblPrEx>
          <w:tblCellMar>
            <w:top w:w="0" w:type="dxa"/>
            <w:left w:w="108" w:type="dxa"/>
            <w:bottom w:w="0" w:type="dxa"/>
            <w:right w:w="108" w:type="dxa"/>
          </w:tblCellMar>
        </w:tblPrEx>
        <w:trPr>
          <w:trHeight w:val="40" w:hRule="atLeast"/>
        </w:trPr>
        <w:tc>
          <w:tcPr>
            <w:tcW w:w="0" w:type="auto"/>
            <w:tcBorders>
              <w:top w:val="single" w:color="auto" w:sz="4" w:space="0"/>
            </w:tcBorders>
            <w:shd w:val="clear" w:color="auto" w:fill="auto"/>
          </w:tcPr>
          <w:p>
            <w:pPr>
              <w:pStyle w:val="20"/>
              <w:rPr>
                <w:rFonts w:ascii="Times New Roman" w:hAnsi="Times New Roman"/>
                <w:lang w:val="en-GB"/>
              </w:rPr>
            </w:pPr>
            <w:r>
              <w:rPr>
                <w:rFonts w:ascii="Times New Roman" w:hAnsi="Times New Roman"/>
                <w:lang w:val="en-GB"/>
              </w:rPr>
              <w:t>Gut</w:t>
            </w:r>
          </w:p>
        </w:tc>
        <w:tc>
          <w:tcPr>
            <w:tcW w:w="0" w:type="auto"/>
            <w:tcBorders>
              <w:top w:val="single" w:color="auto" w:sz="4" w:space="0"/>
            </w:tcBorders>
            <w:shd w:val="clear" w:color="auto" w:fill="auto"/>
          </w:tcPr>
          <w:p>
            <w:pPr>
              <w:pStyle w:val="20"/>
              <w:rPr>
                <w:rFonts w:ascii="Times New Roman" w:hAnsi="Times New Roman"/>
                <w:lang w:val="en-GB"/>
              </w:rPr>
            </w:pPr>
            <w:r>
              <w:rPr>
                <w:rFonts w:ascii="Times New Roman" w:hAnsi="Times New Roman"/>
                <w:lang w:val="en-GB"/>
              </w:rPr>
              <w:t>2.82±3.1</w:t>
            </w:r>
            <w:r>
              <w:rPr>
                <w:rFonts w:ascii="Times New Roman" w:hAnsi="Times New Roman"/>
                <w:vertAlign w:val="superscript"/>
                <w:lang w:val="en-GB"/>
              </w:rPr>
              <w:t>c</w:t>
            </w:r>
          </w:p>
        </w:tc>
        <w:tc>
          <w:tcPr>
            <w:tcW w:w="0" w:type="auto"/>
            <w:tcBorders>
              <w:top w:val="single" w:color="auto" w:sz="4" w:space="0"/>
            </w:tcBorders>
            <w:shd w:val="clear" w:color="auto" w:fill="auto"/>
          </w:tcPr>
          <w:p>
            <w:pPr>
              <w:pStyle w:val="20"/>
              <w:rPr>
                <w:rFonts w:ascii="Times New Roman" w:hAnsi="Times New Roman"/>
                <w:lang w:val="en-GB"/>
              </w:rPr>
            </w:pPr>
            <w:r>
              <w:rPr>
                <w:rFonts w:ascii="Times New Roman" w:hAnsi="Times New Roman"/>
                <w:lang w:val="en-GB"/>
              </w:rPr>
              <w:t>2.68±2.3</w:t>
            </w:r>
            <w:r>
              <w:rPr>
                <w:rFonts w:ascii="Times New Roman" w:hAnsi="Times New Roman"/>
                <w:vertAlign w:val="superscript"/>
                <w:lang w:val="en-GB"/>
              </w:rPr>
              <w:t>a</w:t>
            </w:r>
          </w:p>
        </w:tc>
        <w:tc>
          <w:tcPr>
            <w:tcW w:w="0" w:type="auto"/>
            <w:tcBorders>
              <w:top w:val="single" w:color="auto" w:sz="4" w:space="0"/>
            </w:tcBorders>
            <w:shd w:val="clear" w:color="auto" w:fill="auto"/>
          </w:tcPr>
          <w:p>
            <w:pPr>
              <w:pStyle w:val="20"/>
              <w:rPr>
                <w:rFonts w:ascii="Times New Roman" w:hAnsi="Times New Roman"/>
                <w:lang w:val="en-GB"/>
              </w:rPr>
            </w:pPr>
            <w:r>
              <w:rPr>
                <w:rFonts w:ascii="Times New Roman" w:hAnsi="Times New Roman"/>
                <w:lang w:val="en-GB"/>
              </w:rPr>
              <w:t>2.88±3.5</w:t>
            </w:r>
            <w:r>
              <w:rPr>
                <w:rFonts w:ascii="Times New Roman" w:hAnsi="Times New Roman"/>
                <w:vertAlign w:val="superscript"/>
                <w:lang w:val="en-GB"/>
              </w:rPr>
              <w:t>a</w:t>
            </w:r>
          </w:p>
        </w:tc>
        <w:tc>
          <w:tcPr>
            <w:tcW w:w="0" w:type="auto"/>
            <w:tcBorders>
              <w:top w:val="single" w:color="auto" w:sz="4" w:space="0"/>
            </w:tcBorders>
            <w:shd w:val="clear" w:color="auto" w:fill="auto"/>
          </w:tcPr>
          <w:p>
            <w:pPr>
              <w:pStyle w:val="20"/>
              <w:rPr>
                <w:rFonts w:ascii="Times New Roman" w:hAnsi="Times New Roman"/>
                <w:lang w:val="en-GB"/>
              </w:rPr>
            </w:pPr>
            <w:r>
              <w:rPr>
                <w:rFonts w:ascii="Times New Roman" w:hAnsi="Times New Roman"/>
                <w:lang w:val="en-GB"/>
              </w:rPr>
              <w:t>5.53±2.6</w:t>
            </w:r>
            <w:r>
              <w:rPr>
                <w:rFonts w:ascii="Times New Roman" w:hAnsi="Times New Roman"/>
                <w:vertAlign w:val="superscript"/>
                <w:lang w:val="en-GB"/>
              </w:rPr>
              <w:t>a</w:t>
            </w:r>
          </w:p>
        </w:tc>
        <w:tc>
          <w:tcPr>
            <w:tcW w:w="0" w:type="auto"/>
            <w:tcBorders>
              <w:top w:val="single" w:color="auto" w:sz="4" w:space="0"/>
            </w:tcBorders>
            <w:shd w:val="clear" w:color="auto" w:fill="auto"/>
          </w:tcPr>
          <w:p>
            <w:pPr>
              <w:pStyle w:val="20"/>
              <w:rPr>
                <w:rFonts w:ascii="Times New Roman" w:hAnsi="Times New Roman"/>
                <w:lang w:val="en-GB"/>
              </w:rPr>
            </w:pPr>
            <w:r>
              <w:rPr>
                <w:rFonts w:ascii="Times New Roman" w:hAnsi="Times New Roman"/>
                <w:lang w:val="en-GB"/>
              </w:rPr>
              <w:t>2.30±2.5</w:t>
            </w:r>
            <w:r>
              <w:rPr>
                <w:rFonts w:ascii="Times New Roman" w:hAnsi="Times New Roman"/>
                <w:vertAlign w:val="superscript"/>
                <w:lang w:val="en-GB"/>
              </w:rPr>
              <w:t>bc</w:t>
            </w:r>
          </w:p>
        </w:tc>
      </w:tr>
      <w:tr>
        <w:tblPrEx>
          <w:tblCellMar>
            <w:top w:w="0" w:type="dxa"/>
            <w:left w:w="108" w:type="dxa"/>
            <w:bottom w:w="0" w:type="dxa"/>
            <w:right w:w="108" w:type="dxa"/>
          </w:tblCellMar>
        </w:tblPrEx>
        <w:trPr>
          <w:trHeight w:val="85" w:hRule="atLeast"/>
        </w:trPr>
        <w:tc>
          <w:tcPr>
            <w:tcW w:w="0" w:type="auto"/>
            <w:shd w:val="clear" w:color="auto" w:fill="auto"/>
          </w:tcPr>
          <w:p>
            <w:pPr>
              <w:pStyle w:val="20"/>
              <w:rPr>
                <w:rFonts w:ascii="Times New Roman" w:hAnsi="Times New Roman"/>
                <w:lang w:val="en-GB"/>
              </w:rPr>
            </w:pPr>
            <w:r>
              <w:rPr>
                <w:rFonts w:ascii="Times New Roman" w:hAnsi="Times New Roman"/>
                <w:lang w:val="en-GB"/>
              </w:rPr>
              <w:t>Flesh</w:t>
            </w:r>
          </w:p>
        </w:tc>
        <w:tc>
          <w:tcPr>
            <w:tcW w:w="0" w:type="auto"/>
            <w:shd w:val="clear" w:color="auto" w:fill="auto"/>
          </w:tcPr>
          <w:p>
            <w:pPr>
              <w:pStyle w:val="20"/>
              <w:rPr>
                <w:rFonts w:ascii="Times New Roman" w:hAnsi="Times New Roman"/>
                <w:lang w:val="en-GB"/>
              </w:rPr>
            </w:pPr>
            <w:r>
              <w:rPr>
                <w:rFonts w:ascii="Times New Roman" w:hAnsi="Times New Roman"/>
                <w:lang w:val="en-GB"/>
              </w:rPr>
              <w:t>1.60±1.7</w:t>
            </w:r>
            <w:r>
              <w:rPr>
                <w:rFonts w:ascii="Times New Roman" w:hAnsi="Times New Roman"/>
                <w:vertAlign w:val="superscript"/>
                <w:lang w:val="en-GB"/>
              </w:rPr>
              <w:t>a</w:t>
            </w:r>
          </w:p>
        </w:tc>
        <w:tc>
          <w:tcPr>
            <w:tcW w:w="0" w:type="auto"/>
            <w:shd w:val="clear" w:color="auto" w:fill="auto"/>
          </w:tcPr>
          <w:p>
            <w:pPr>
              <w:pStyle w:val="20"/>
              <w:rPr>
                <w:rFonts w:ascii="Times New Roman" w:hAnsi="Times New Roman"/>
                <w:lang w:val="en-GB"/>
              </w:rPr>
            </w:pPr>
            <w:r>
              <w:rPr>
                <w:rFonts w:ascii="Times New Roman" w:hAnsi="Times New Roman"/>
                <w:lang w:val="en-GB"/>
              </w:rPr>
              <w:t>2.90±2.3</w:t>
            </w:r>
            <w:r>
              <w:rPr>
                <w:rFonts w:ascii="Times New Roman" w:hAnsi="Times New Roman"/>
                <w:vertAlign w:val="superscript"/>
                <w:lang w:val="en-GB"/>
              </w:rPr>
              <w:t>a</w:t>
            </w:r>
          </w:p>
        </w:tc>
        <w:tc>
          <w:tcPr>
            <w:tcW w:w="0" w:type="auto"/>
            <w:shd w:val="clear" w:color="auto" w:fill="auto"/>
          </w:tcPr>
          <w:p>
            <w:pPr>
              <w:pStyle w:val="20"/>
              <w:rPr>
                <w:rFonts w:ascii="Times New Roman" w:hAnsi="Times New Roman"/>
                <w:lang w:val="en-GB"/>
              </w:rPr>
            </w:pPr>
            <w:r>
              <w:rPr>
                <w:rFonts w:ascii="Times New Roman" w:hAnsi="Times New Roman"/>
                <w:lang w:val="en-GB"/>
              </w:rPr>
              <w:t>2.70±3.6</w:t>
            </w:r>
            <w:r>
              <w:rPr>
                <w:rFonts w:ascii="Times New Roman" w:hAnsi="Times New Roman"/>
                <w:vertAlign w:val="superscript"/>
                <w:lang w:val="en-GB"/>
              </w:rPr>
              <w:t>a</w:t>
            </w:r>
          </w:p>
        </w:tc>
        <w:tc>
          <w:tcPr>
            <w:tcW w:w="0" w:type="auto"/>
            <w:shd w:val="clear" w:color="auto" w:fill="auto"/>
          </w:tcPr>
          <w:p>
            <w:pPr>
              <w:pStyle w:val="20"/>
              <w:rPr>
                <w:rFonts w:ascii="Times New Roman" w:hAnsi="Times New Roman"/>
                <w:lang w:val="en-GB"/>
              </w:rPr>
            </w:pPr>
            <w:r>
              <w:rPr>
                <w:rFonts w:ascii="Times New Roman" w:hAnsi="Times New Roman"/>
                <w:lang w:val="en-GB"/>
              </w:rPr>
              <w:t>6.63±3.1</w:t>
            </w:r>
            <w:r>
              <w:rPr>
                <w:rFonts w:ascii="Times New Roman" w:hAnsi="Times New Roman"/>
                <w:vertAlign w:val="superscript"/>
                <w:lang w:val="en-GB"/>
              </w:rPr>
              <w:t>c</w:t>
            </w:r>
          </w:p>
        </w:tc>
        <w:tc>
          <w:tcPr>
            <w:tcW w:w="0" w:type="auto"/>
            <w:shd w:val="clear" w:color="auto" w:fill="auto"/>
          </w:tcPr>
          <w:p>
            <w:pPr>
              <w:pStyle w:val="20"/>
              <w:rPr>
                <w:rFonts w:ascii="Times New Roman" w:hAnsi="Times New Roman"/>
                <w:lang w:val="en-GB"/>
              </w:rPr>
            </w:pPr>
            <w:r>
              <w:rPr>
                <w:rFonts w:ascii="Times New Roman" w:hAnsi="Times New Roman"/>
                <w:lang w:val="en-GB"/>
              </w:rPr>
              <w:t>2.21±5.4</w:t>
            </w:r>
            <w:r>
              <w:rPr>
                <w:rFonts w:ascii="Times New Roman" w:hAnsi="Times New Roman"/>
                <w:vertAlign w:val="superscript"/>
                <w:lang w:val="en-GB"/>
              </w:rPr>
              <w:t>c</w:t>
            </w:r>
          </w:p>
        </w:tc>
      </w:tr>
      <w:tr>
        <w:tblPrEx>
          <w:tblCellMar>
            <w:top w:w="0" w:type="dxa"/>
            <w:left w:w="108" w:type="dxa"/>
            <w:bottom w:w="0" w:type="dxa"/>
            <w:right w:w="108" w:type="dxa"/>
          </w:tblCellMar>
        </w:tblPrEx>
        <w:trPr>
          <w:trHeight w:val="60" w:hRule="atLeast"/>
        </w:trPr>
        <w:tc>
          <w:tcPr>
            <w:tcW w:w="0" w:type="auto"/>
            <w:shd w:val="clear" w:color="auto" w:fill="auto"/>
          </w:tcPr>
          <w:p>
            <w:pPr>
              <w:pStyle w:val="20"/>
              <w:rPr>
                <w:rFonts w:ascii="Times New Roman" w:hAnsi="Times New Roman"/>
                <w:lang w:val="en-GB"/>
              </w:rPr>
            </w:pPr>
            <w:r>
              <w:rPr>
                <w:rFonts w:ascii="Times New Roman" w:hAnsi="Times New Roman"/>
                <w:lang w:val="en-GB"/>
              </w:rPr>
              <w:t>Shell</w:t>
            </w:r>
          </w:p>
        </w:tc>
        <w:tc>
          <w:tcPr>
            <w:tcW w:w="0" w:type="auto"/>
            <w:shd w:val="clear" w:color="auto" w:fill="auto"/>
          </w:tcPr>
          <w:p>
            <w:pPr>
              <w:pStyle w:val="20"/>
              <w:rPr>
                <w:rFonts w:ascii="Times New Roman" w:hAnsi="Times New Roman"/>
                <w:lang w:val="en-GB"/>
              </w:rPr>
            </w:pPr>
            <w:r>
              <w:rPr>
                <w:rFonts w:ascii="Times New Roman" w:hAnsi="Times New Roman"/>
                <w:lang w:val="en-GB"/>
              </w:rPr>
              <w:t>1.61±1.3</w:t>
            </w:r>
            <w:r>
              <w:rPr>
                <w:rFonts w:ascii="Times New Roman" w:hAnsi="Times New Roman"/>
                <w:vertAlign w:val="superscript"/>
                <w:lang w:val="en-GB"/>
              </w:rPr>
              <w:t>a</w:t>
            </w:r>
          </w:p>
        </w:tc>
        <w:tc>
          <w:tcPr>
            <w:tcW w:w="0" w:type="auto"/>
            <w:shd w:val="clear" w:color="auto" w:fill="auto"/>
          </w:tcPr>
          <w:p>
            <w:pPr>
              <w:pStyle w:val="20"/>
              <w:rPr>
                <w:rFonts w:ascii="Times New Roman" w:hAnsi="Times New Roman"/>
                <w:lang w:val="en-GB"/>
              </w:rPr>
            </w:pPr>
            <w:r>
              <w:rPr>
                <w:rFonts w:ascii="Times New Roman" w:hAnsi="Times New Roman"/>
                <w:lang w:val="en-GB"/>
              </w:rPr>
              <w:t>2.75±2.8</w:t>
            </w:r>
            <w:r>
              <w:rPr>
                <w:rFonts w:ascii="Times New Roman" w:hAnsi="Times New Roman"/>
                <w:vertAlign w:val="superscript"/>
                <w:lang w:val="en-GB"/>
              </w:rPr>
              <w:t>a</w:t>
            </w:r>
          </w:p>
        </w:tc>
        <w:tc>
          <w:tcPr>
            <w:tcW w:w="0" w:type="auto"/>
            <w:shd w:val="clear" w:color="auto" w:fill="auto"/>
          </w:tcPr>
          <w:p>
            <w:pPr>
              <w:pStyle w:val="20"/>
              <w:rPr>
                <w:rFonts w:ascii="Times New Roman" w:hAnsi="Times New Roman"/>
                <w:lang w:val="en-GB"/>
              </w:rPr>
            </w:pPr>
            <w:r>
              <w:rPr>
                <w:rFonts w:ascii="Times New Roman" w:hAnsi="Times New Roman"/>
                <w:lang w:val="en-GB"/>
              </w:rPr>
              <w:t>2.78±4.0</w:t>
            </w:r>
            <w:r>
              <w:rPr>
                <w:rFonts w:ascii="Times New Roman" w:hAnsi="Times New Roman"/>
                <w:vertAlign w:val="superscript"/>
                <w:lang w:val="en-GB"/>
              </w:rPr>
              <w:t>a</w:t>
            </w:r>
          </w:p>
        </w:tc>
        <w:tc>
          <w:tcPr>
            <w:tcW w:w="0" w:type="auto"/>
            <w:shd w:val="clear" w:color="auto" w:fill="auto"/>
          </w:tcPr>
          <w:p>
            <w:pPr>
              <w:pStyle w:val="20"/>
              <w:rPr>
                <w:rFonts w:ascii="Times New Roman" w:hAnsi="Times New Roman"/>
                <w:lang w:val="en-GB"/>
              </w:rPr>
            </w:pPr>
            <w:r>
              <w:rPr>
                <w:rFonts w:ascii="Times New Roman" w:hAnsi="Times New Roman"/>
                <w:lang w:val="en-GB"/>
              </w:rPr>
              <w:t xml:space="preserve">      -</w:t>
            </w:r>
          </w:p>
        </w:tc>
        <w:tc>
          <w:tcPr>
            <w:tcW w:w="0" w:type="auto"/>
            <w:shd w:val="clear" w:color="auto" w:fill="auto"/>
          </w:tcPr>
          <w:p>
            <w:pPr>
              <w:pStyle w:val="20"/>
              <w:rPr>
                <w:rFonts w:ascii="Times New Roman" w:hAnsi="Times New Roman"/>
                <w:lang w:val="en-GB"/>
              </w:rPr>
            </w:pPr>
            <w:r>
              <w:rPr>
                <w:rFonts w:ascii="Times New Roman" w:hAnsi="Times New Roman"/>
                <w:lang w:val="en-GB"/>
              </w:rPr>
              <w:t>1.72±2.2</w:t>
            </w:r>
            <w:r>
              <w:rPr>
                <w:rFonts w:ascii="Times New Roman" w:hAnsi="Times New Roman"/>
                <w:vertAlign w:val="superscript"/>
                <w:lang w:val="en-GB"/>
              </w:rPr>
              <w:t>a</w:t>
            </w:r>
          </w:p>
        </w:tc>
      </w:tr>
      <w:tr>
        <w:tblPrEx>
          <w:tblCellMar>
            <w:top w:w="0" w:type="dxa"/>
            <w:left w:w="108" w:type="dxa"/>
            <w:bottom w:w="0" w:type="dxa"/>
            <w:right w:w="108" w:type="dxa"/>
          </w:tblCellMar>
        </w:tblPrEx>
        <w:trPr>
          <w:trHeight w:val="234" w:hRule="atLeast"/>
        </w:trPr>
        <w:tc>
          <w:tcPr>
            <w:tcW w:w="0" w:type="auto"/>
            <w:tcBorders>
              <w:bottom w:val="single" w:color="auto" w:sz="4" w:space="0"/>
            </w:tcBorders>
            <w:shd w:val="clear" w:color="auto" w:fill="auto"/>
          </w:tcPr>
          <w:p>
            <w:pPr>
              <w:pStyle w:val="20"/>
              <w:rPr>
                <w:rFonts w:ascii="Times New Roman" w:hAnsi="Times New Roman"/>
                <w:b/>
                <w:bCs/>
                <w:lang w:val="en-GB"/>
              </w:rPr>
            </w:pPr>
            <w:r>
              <w:rPr>
                <w:rFonts w:ascii="Times New Roman" w:hAnsi="Times New Roman"/>
                <w:b/>
                <w:bCs/>
                <w:lang w:val="en-GB"/>
              </w:rPr>
              <w:t>MEAN</w:t>
            </w:r>
          </w:p>
        </w:tc>
        <w:tc>
          <w:tcPr>
            <w:tcW w:w="0" w:type="auto"/>
            <w:tcBorders>
              <w:bottom w:val="single" w:color="auto" w:sz="4" w:space="0"/>
            </w:tcBorders>
            <w:shd w:val="clear" w:color="auto" w:fill="auto"/>
          </w:tcPr>
          <w:p>
            <w:pPr>
              <w:pStyle w:val="20"/>
              <w:rPr>
                <w:rFonts w:ascii="Times New Roman" w:hAnsi="Times New Roman"/>
                <w:b/>
                <w:lang w:val="en-GB"/>
              </w:rPr>
            </w:pPr>
            <w:r>
              <w:rPr>
                <w:rFonts w:ascii="Times New Roman" w:hAnsi="Times New Roman"/>
                <w:b/>
              </w:rPr>
              <w:t>2.01±0.14</w:t>
            </w:r>
            <w:r>
              <w:rPr>
                <w:rFonts w:ascii="Times New Roman" w:hAnsi="Times New Roman"/>
                <w:b/>
                <w:vertAlign w:val="superscript"/>
              </w:rPr>
              <w:t>b</w:t>
            </w:r>
            <w:r>
              <w:rPr>
                <w:rFonts w:ascii="Times New Roman" w:hAnsi="Times New Roman"/>
                <w:b/>
              </w:rPr>
              <w:t xml:space="preserve"> </w:t>
            </w:r>
          </w:p>
        </w:tc>
        <w:tc>
          <w:tcPr>
            <w:tcW w:w="0" w:type="auto"/>
            <w:tcBorders>
              <w:bottom w:val="single" w:color="auto" w:sz="4" w:space="0"/>
            </w:tcBorders>
            <w:shd w:val="clear" w:color="auto" w:fill="auto"/>
          </w:tcPr>
          <w:p>
            <w:pPr>
              <w:pStyle w:val="20"/>
              <w:rPr>
                <w:rFonts w:ascii="Times New Roman" w:hAnsi="Times New Roman"/>
                <w:b/>
                <w:lang w:val="en-GB"/>
              </w:rPr>
            </w:pPr>
            <w:r>
              <w:rPr>
                <w:rFonts w:ascii="Times New Roman" w:hAnsi="Times New Roman"/>
                <w:b/>
              </w:rPr>
              <w:t>2.77±0.27</w:t>
            </w:r>
            <w:r>
              <w:rPr>
                <w:rFonts w:ascii="Times New Roman" w:hAnsi="Times New Roman"/>
                <w:b/>
                <w:vertAlign w:val="superscript"/>
              </w:rPr>
              <w:t xml:space="preserve">a </w:t>
            </w:r>
          </w:p>
        </w:tc>
        <w:tc>
          <w:tcPr>
            <w:tcW w:w="0" w:type="auto"/>
            <w:tcBorders>
              <w:bottom w:val="single" w:color="auto" w:sz="4" w:space="0"/>
            </w:tcBorders>
            <w:shd w:val="clear" w:color="auto" w:fill="auto"/>
          </w:tcPr>
          <w:p>
            <w:pPr>
              <w:pStyle w:val="20"/>
              <w:rPr>
                <w:rFonts w:ascii="Times New Roman" w:hAnsi="Times New Roman"/>
                <w:b/>
                <w:lang w:val="en-GB"/>
              </w:rPr>
            </w:pPr>
            <w:r>
              <w:rPr>
                <w:rFonts w:ascii="Times New Roman" w:hAnsi="Times New Roman"/>
                <w:b/>
              </w:rPr>
              <w:t>2.79±0.18</w:t>
            </w:r>
            <w:r>
              <w:rPr>
                <w:rFonts w:ascii="Times New Roman" w:hAnsi="Times New Roman"/>
                <w:b/>
                <w:vertAlign w:val="superscript"/>
              </w:rPr>
              <w:t xml:space="preserve">a </w:t>
            </w:r>
          </w:p>
        </w:tc>
        <w:tc>
          <w:tcPr>
            <w:tcW w:w="0" w:type="auto"/>
            <w:tcBorders>
              <w:bottom w:val="single" w:color="auto" w:sz="4" w:space="0"/>
            </w:tcBorders>
            <w:shd w:val="clear" w:color="auto" w:fill="auto"/>
          </w:tcPr>
          <w:p>
            <w:pPr>
              <w:pStyle w:val="20"/>
              <w:rPr>
                <w:rFonts w:ascii="Times New Roman" w:hAnsi="Times New Roman"/>
                <w:b/>
                <w:lang w:val="en-GB"/>
              </w:rPr>
            </w:pPr>
            <w:r>
              <w:rPr>
                <w:rFonts w:ascii="Times New Roman" w:hAnsi="Times New Roman"/>
                <w:b/>
              </w:rPr>
              <w:t>6.08±0.21</w:t>
            </w:r>
            <w:r>
              <w:rPr>
                <w:rFonts w:ascii="Times New Roman" w:hAnsi="Times New Roman"/>
                <w:b/>
                <w:vertAlign w:val="superscript"/>
              </w:rPr>
              <w:t>b</w:t>
            </w:r>
          </w:p>
        </w:tc>
        <w:tc>
          <w:tcPr>
            <w:tcW w:w="0" w:type="auto"/>
            <w:tcBorders>
              <w:bottom w:val="single" w:color="auto" w:sz="4" w:space="0"/>
            </w:tcBorders>
            <w:shd w:val="clear" w:color="auto" w:fill="auto"/>
          </w:tcPr>
          <w:p>
            <w:pPr>
              <w:pStyle w:val="20"/>
              <w:rPr>
                <w:rFonts w:ascii="Times New Roman" w:hAnsi="Times New Roman"/>
                <w:b/>
                <w:lang w:val="en-GB"/>
              </w:rPr>
            </w:pPr>
            <w:r>
              <w:rPr>
                <w:rFonts w:ascii="Times New Roman" w:hAnsi="Times New Roman"/>
                <w:b/>
              </w:rPr>
              <w:t>2.08±2.10</w:t>
            </w:r>
            <w:r>
              <w:rPr>
                <w:rFonts w:ascii="Times New Roman" w:hAnsi="Times New Roman"/>
                <w:b/>
                <w:vertAlign w:val="superscript"/>
              </w:rPr>
              <w:t>b</w:t>
            </w:r>
          </w:p>
        </w:tc>
      </w:tr>
      <w:tr>
        <w:tblPrEx>
          <w:tblCellMar>
            <w:top w:w="0" w:type="dxa"/>
            <w:left w:w="108" w:type="dxa"/>
            <w:bottom w:w="0" w:type="dxa"/>
            <w:right w:w="108" w:type="dxa"/>
          </w:tblCellMar>
        </w:tblPrEx>
        <w:trPr>
          <w:trHeight w:val="60" w:hRule="atLeast"/>
        </w:trPr>
        <w:tc>
          <w:tcPr>
            <w:tcW w:w="0" w:type="auto"/>
            <w:gridSpan w:val="6"/>
            <w:tcBorders>
              <w:top w:val="single" w:color="auto" w:sz="4" w:space="0"/>
            </w:tcBorders>
            <w:shd w:val="clear" w:color="auto" w:fill="auto"/>
          </w:tcPr>
          <w:p>
            <w:pPr>
              <w:pStyle w:val="20"/>
              <w:ind w:left="34" w:hanging="34"/>
              <w:rPr>
                <w:rFonts w:ascii="Times New Roman" w:hAnsi="Times New Roman"/>
                <w:lang w:val="en-GB"/>
              </w:rPr>
            </w:pPr>
            <w:r>
              <w:rPr>
                <w:rFonts w:ascii="Times New Roman" w:hAnsi="Times New Roman"/>
              </w:rPr>
              <w:t>Values are mean</w:t>
            </w:r>
            <w:r>
              <w:t xml:space="preserve"> </w:t>
            </w:r>
            <w:r>
              <w:rPr>
                <w:rFonts w:ascii="Times New Roman" w:hAnsi="Times New Roman"/>
              </w:rPr>
              <w:t xml:space="preserve">± SD. </w:t>
            </w:r>
            <w:r>
              <w:rPr>
                <w:rFonts w:ascii="Times New Roman" w:hAnsi="Times New Roman"/>
                <w:lang w:val="en-GB"/>
              </w:rPr>
              <w:t xml:space="preserve">Mean±sd in the same column with different alphabets are significantly different (p&lt;0.05). </w:t>
            </w:r>
            <w:r>
              <w:rPr>
                <w:rFonts w:ascii="Times New Roman" w:hAnsi="Times New Roman"/>
              </w:rPr>
              <w:t>THBC = Total Heterotrophic Bacterial count, TVC= Total Vibrio Count TCC = Total Coliform Count, TSC = Total Staphylococcal Count, TFC = Total fungal count.</w:t>
            </w:r>
          </w:p>
        </w:tc>
      </w:tr>
    </w:tbl>
    <w:p>
      <w:pPr>
        <w:pStyle w:val="18"/>
        <w:spacing w:before="240" w:line="480" w:lineRule="auto"/>
        <w:ind w:left="0"/>
        <w:jc w:val="both"/>
        <w:rPr>
          <w:rFonts w:ascii="Times New Roman" w:hAnsi="Times New Roman" w:cs="Times New Roman"/>
        </w:rPr>
      </w:pPr>
      <w:r>
        <w:rPr>
          <w:rFonts w:ascii="Times New Roman" w:hAnsi="Times New Roman" w:cs="Times New Roman"/>
        </w:rPr>
        <w:t>Proximate Composition of knife clam is presented in table 4.</w:t>
      </w:r>
      <w:r>
        <w:t xml:space="preserve"> </w:t>
      </w:r>
      <w:r>
        <w:rPr>
          <w:rFonts w:ascii="Times New Roman" w:hAnsi="Times New Roman" w:cs="Times New Roman"/>
        </w:rPr>
        <w:t>The moisture content of the mollusc ranged from 38.27% to 43.14% with 40.75±1.85% being the mean. Ash ranged 5.12 – 6.23% and the mean was 5.99±0.42%. The fibre content ranged from 3.96 – 4.21% while the mean was 4.13±0.10%. The protein content ranged from 56.45 – 63.31% and mean was 60.92±2.38%. Fat content ranged 4.99 – 6.03% while mean was 5.56±0.51%. Carbohydrate content was within the range of 21.26 – 29.46% and had 26.58±2.91% as the mean, while the caloric value was ranged from 384.97 – 410.39 kcal and had 397.65±11.97 kcal as the mean.</w:t>
      </w:r>
    </w:p>
    <w:p>
      <w:pPr>
        <w:pStyle w:val="18"/>
        <w:spacing w:before="240" w:line="480" w:lineRule="auto"/>
        <w:ind w:left="0"/>
        <w:jc w:val="both"/>
        <w:rPr>
          <w:rFonts w:ascii="Times New Roman" w:hAnsi="Times New Roman" w:cs="Times New Roman"/>
        </w:rPr>
      </w:pPr>
    </w:p>
    <w:p>
      <w:pPr>
        <w:pStyle w:val="18"/>
        <w:spacing w:before="240" w:line="480" w:lineRule="auto"/>
        <w:ind w:left="0"/>
        <w:jc w:val="both"/>
        <w:rPr>
          <w:rFonts w:ascii="Times New Roman" w:hAnsi="Times New Roman" w:cs="Times New Roman"/>
        </w:rPr>
      </w:pPr>
    </w:p>
    <w:p>
      <w:pPr>
        <w:pStyle w:val="18"/>
        <w:spacing w:before="240" w:line="480" w:lineRule="auto"/>
        <w:ind w:left="0"/>
        <w:jc w:val="both"/>
        <w:rPr>
          <w:rFonts w:ascii="Times New Roman" w:hAnsi="Times New Roman" w:cs="Times New Roman"/>
        </w:rPr>
      </w:pPr>
    </w:p>
    <w:tbl>
      <w:tblPr>
        <w:tblStyle w:val="19"/>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1"/>
        <w:gridCol w:w="4691"/>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5000" w:type="pct"/>
            <w:gridSpan w:val="2"/>
            <w:tcBorders>
              <w:top w:val="nil"/>
              <w:bottom w:val="single" w:color="auto" w:sz="4" w:space="0"/>
            </w:tcBorders>
          </w:tcPr>
          <w:p>
            <w:pPr>
              <w:pStyle w:val="18"/>
              <w:spacing w:before="240" w:after="0" w:line="240" w:lineRule="auto"/>
              <w:ind w:left="0"/>
              <w:jc w:val="both"/>
              <w:rPr>
                <w:rFonts w:ascii="Times New Roman" w:hAnsi="Times New Roman" w:cs="Times New Roman"/>
                <w:b w:val="0"/>
                <w:bCs/>
              </w:rPr>
            </w:pPr>
            <w:r>
              <w:rPr>
                <w:rFonts w:ascii="Times New Roman" w:hAnsi="Times New Roman" w:cs="Times New Roman"/>
                <w:b w:val="0"/>
                <w:bCs/>
              </w:rPr>
              <w:t xml:space="preserve">Table 4. Mean proximate composition of flesh of </w:t>
            </w:r>
            <w:r>
              <w:rPr>
                <w:rFonts w:ascii="Times New Roman" w:hAnsi="Times New Roman" w:cs="Times New Roman"/>
                <w:b w:val="0"/>
                <w:bCs/>
                <w:i/>
              </w:rPr>
              <w:t>Tagelus adansonii</w:t>
            </w:r>
            <w:r>
              <w:rPr>
                <w:rFonts w:ascii="Times New Roman" w:hAnsi="Times New Roman" w:cs="Times New Roman"/>
                <w:b w:val="0"/>
                <w:bCs/>
              </w:rPr>
              <w:t xml:space="preserve"> caught</w:t>
            </w:r>
            <w:r>
              <w:rPr>
                <w:rFonts w:ascii="Times New Roman" w:hAnsi="Times New Roman"/>
                <w:b w:val="0"/>
                <w:bCs/>
              </w:rPr>
              <w:t xml:space="preserve"> in </w:t>
            </w:r>
            <w:r>
              <w:rPr>
                <w:rFonts w:ascii="Times New Roman" w:hAnsi="Times New Roman" w:cs="Times New Roman"/>
                <w:b w:val="0"/>
                <w:bCs/>
              </w:rPr>
              <w:t>Mangrove Swamps of Iko Estuary, Southeast, Nigeria</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2462" w:type="pct"/>
            <w:tcBorders>
              <w:top w:val="single" w:color="auto" w:sz="4" w:space="0"/>
              <w:bottom w:val="single" w:color="auto" w:sz="4" w:space="0"/>
            </w:tcBorders>
          </w:tcPr>
          <w:p>
            <w:pPr>
              <w:pStyle w:val="18"/>
              <w:spacing w:after="0" w:line="240" w:lineRule="auto"/>
              <w:ind w:left="0"/>
              <w:jc w:val="both"/>
              <w:rPr>
                <w:rFonts w:ascii="Times New Roman" w:hAnsi="Times New Roman" w:cs="Times New Roman"/>
                <w:b w:val="0"/>
                <w:bCs/>
              </w:rPr>
            </w:pPr>
            <w:r>
              <w:rPr>
                <w:rFonts w:ascii="Times New Roman" w:hAnsi="Times New Roman" w:cs="Times New Roman"/>
                <w:b/>
                <w:bCs/>
              </w:rPr>
              <w:t>Parameters</w:t>
            </w:r>
          </w:p>
        </w:tc>
        <w:tc>
          <w:tcPr>
            <w:tcW w:w="2538" w:type="pct"/>
            <w:tcBorders>
              <w:top w:val="single" w:color="auto" w:sz="4" w:space="0"/>
              <w:bottom w:val="single" w:color="auto" w:sz="4" w:space="0"/>
            </w:tcBorders>
          </w:tcPr>
          <w:p>
            <w:pPr>
              <w:pStyle w:val="18"/>
              <w:spacing w:before="240" w:after="0" w:line="240" w:lineRule="auto"/>
              <w:ind w:left="0"/>
              <w:jc w:val="both"/>
              <w:rPr>
                <w:rFonts w:ascii="Times New Roman" w:hAnsi="Times New Roman" w:cs="Times New Roman"/>
                <w:b/>
              </w:rPr>
            </w:pPr>
            <w:r>
              <w:rPr>
                <w:rFonts w:ascii="Times New Roman" w:hAnsi="Times New Roman" w:cs="Times New Roman"/>
                <w:b/>
              </w:rPr>
              <w:t>Composition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462" w:type="pct"/>
            <w:tcBorders>
              <w:top w:val="single" w:color="auto" w:sz="4" w:space="0"/>
              <w:bottom w:val="nil"/>
            </w:tcBorders>
          </w:tcPr>
          <w:p>
            <w:pPr>
              <w:pStyle w:val="18"/>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Moisture </w:t>
            </w:r>
          </w:p>
        </w:tc>
        <w:tc>
          <w:tcPr>
            <w:tcW w:w="2538" w:type="pct"/>
            <w:tcBorders>
              <w:top w:val="single" w:color="auto" w:sz="4" w:space="0"/>
              <w:bottom w:val="nil"/>
            </w:tcBorders>
          </w:tcPr>
          <w:p>
            <w:pPr>
              <w:pStyle w:val="18"/>
              <w:spacing w:after="0" w:line="240" w:lineRule="auto"/>
              <w:ind w:left="0"/>
              <w:jc w:val="both"/>
              <w:rPr>
                <w:rFonts w:ascii="Times New Roman" w:hAnsi="Times New Roman" w:cs="Times New Roman"/>
              </w:rPr>
            </w:pPr>
            <w:bookmarkStart w:id="9" w:name="_Hlk13748568"/>
            <w:r>
              <w:rPr>
                <w:rFonts w:ascii="Times New Roman" w:hAnsi="Times New Roman" w:cs="Times New Roman"/>
              </w:rPr>
              <w:t>40.75±1.85</w:t>
            </w:r>
            <w:bookmarkEnd w:id="9"/>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2" w:type="pct"/>
            <w:tcBorders>
              <w:top w:val="nil"/>
              <w:bottom w:val="nil"/>
            </w:tcBorders>
          </w:tcPr>
          <w:p>
            <w:pPr>
              <w:pStyle w:val="18"/>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Ash </w:t>
            </w:r>
          </w:p>
        </w:tc>
        <w:tc>
          <w:tcPr>
            <w:tcW w:w="2538" w:type="pct"/>
            <w:tcBorders>
              <w:top w:val="nil"/>
              <w:bottom w:val="nil"/>
            </w:tcBorders>
          </w:tcPr>
          <w:p>
            <w:pPr>
              <w:pStyle w:val="18"/>
              <w:spacing w:before="240" w:after="0" w:line="240" w:lineRule="auto"/>
              <w:ind w:left="0"/>
              <w:jc w:val="both"/>
              <w:rPr>
                <w:rFonts w:ascii="Times New Roman" w:hAnsi="Times New Roman" w:cs="Times New Roman"/>
              </w:rPr>
            </w:pPr>
            <w:bookmarkStart w:id="10" w:name="_Hlk13753469"/>
            <w:r>
              <w:rPr>
                <w:rFonts w:ascii="Times New Roman" w:hAnsi="Times New Roman" w:cs="Times New Roman"/>
              </w:rPr>
              <w:t>5.99±0.42</w:t>
            </w:r>
            <w:bookmarkEnd w:id="10"/>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2" w:type="pct"/>
            <w:tcBorders>
              <w:top w:val="nil"/>
              <w:bottom w:val="nil"/>
            </w:tcBorders>
          </w:tcPr>
          <w:p>
            <w:pPr>
              <w:pStyle w:val="18"/>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Crude fibre </w:t>
            </w:r>
          </w:p>
        </w:tc>
        <w:tc>
          <w:tcPr>
            <w:tcW w:w="2538" w:type="pct"/>
            <w:tcBorders>
              <w:top w:val="nil"/>
              <w:bottom w:val="nil"/>
            </w:tcBorders>
          </w:tcPr>
          <w:p>
            <w:pPr>
              <w:pStyle w:val="18"/>
              <w:spacing w:before="240" w:after="0" w:line="240" w:lineRule="auto"/>
              <w:ind w:left="0"/>
              <w:jc w:val="both"/>
              <w:rPr>
                <w:rFonts w:ascii="Times New Roman" w:hAnsi="Times New Roman" w:cs="Times New Roman"/>
              </w:rPr>
            </w:pPr>
            <w:r>
              <w:rPr>
                <w:rFonts w:ascii="Times New Roman" w:hAnsi="Times New Roman" w:cs="Times New Roman"/>
              </w:rPr>
              <w:t>4.13</w:t>
            </w:r>
            <w:bookmarkStart w:id="11" w:name="_Hlk14697899"/>
            <w:r>
              <w:rPr>
                <w:rFonts w:ascii="Times New Roman" w:hAnsi="Times New Roman" w:cs="Times New Roman"/>
              </w:rPr>
              <w:t>±0.10</w:t>
            </w:r>
            <w:bookmarkEnd w:id="11"/>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2" w:type="pct"/>
            <w:tcBorders>
              <w:top w:val="nil"/>
              <w:bottom w:val="nil"/>
            </w:tcBorders>
          </w:tcPr>
          <w:p>
            <w:pPr>
              <w:pStyle w:val="18"/>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Crude protein </w:t>
            </w:r>
          </w:p>
        </w:tc>
        <w:tc>
          <w:tcPr>
            <w:tcW w:w="2538" w:type="pct"/>
            <w:tcBorders>
              <w:top w:val="nil"/>
              <w:bottom w:val="nil"/>
            </w:tcBorders>
          </w:tcPr>
          <w:p>
            <w:pPr>
              <w:pStyle w:val="18"/>
              <w:spacing w:before="240" w:after="0" w:line="240" w:lineRule="auto"/>
              <w:ind w:left="0"/>
              <w:jc w:val="both"/>
              <w:rPr>
                <w:rFonts w:ascii="Times New Roman" w:hAnsi="Times New Roman" w:cs="Times New Roman"/>
              </w:rPr>
            </w:pPr>
            <w:bookmarkStart w:id="12" w:name="_Hlk13825829"/>
            <w:r>
              <w:rPr>
                <w:rFonts w:ascii="Times New Roman" w:hAnsi="Times New Roman" w:cs="Times New Roman"/>
              </w:rPr>
              <w:t>60.92±2.38</w:t>
            </w:r>
            <w:bookmarkEnd w:id="12"/>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2462" w:type="pct"/>
            <w:tcBorders>
              <w:top w:val="nil"/>
              <w:bottom w:val="nil"/>
            </w:tcBorders>
          </w:tcPr>
          <w:p>
            <w:pPr>
              <w:pStyle w:val="18"/>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Ether extract </w:t>
            </w:r>
          </w:p>
        </w:tc>
        <w:tc>
          <w:tcPr>
            <w:tcW w:w="2538" w:type="pct"/>
            <w:tcBorders>
              <w:top w:val="nil"/>
              <w:bottom w:val="nil"/>
            </w:tcBorders>
          </w:tcPr>
          <w:p>
            <w:pPr>
              <w:pStyle w:val="18"/>
              <w:spacing w:before="240" w:after="0" w:line="240" w:lineRule="auto"/>
              <w:ind w:left="0"/>
              <w:jc w:val="both"/>
              <w:rPr>
                <w:rFonts w:ascii="Times New Roman" w:hAnsi="Times New Roman" w:cs="Times New Roman"/>
              </w:rPr>
            </w:pPr>
            <w:bookmarkStart w:id="13" w:name="_Hlk13826843"/>
            <w:r>
              <w:rPr>
                <w:rFonts w:ascii="Times New Roman" w:hAnsi="Times New Roman" w:cs="Times New Roman"/>
              </w:rPr>
              <w:t>5.56±0.51</w:t>
            </w:r>
            <w:bookmarkEnd w:id="13"/>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2" w:type="pct"/>
            <w:tcBorders>
              <w:top w:val="nil"/>
              <w:bottom w:val="nil"/>
            </w:tcBorders>
          </w:tcPr>
          <w:p>
            <w:pPr>
              <w:pStyle w:val="18"/>
              <w:spacing w:after="0" w:line="240" w:lineRule="auto"/>
              <w:ind w:left="0"/>
              <w:jc w:val="both"/>
              <w:rPr>
                <w:rFonts w:ascii="Times New Roman" w:hAnsi="Times New Roman" w:cs="Times New Roman"/>
                <w:b w:val="0"/>
                <w:bCs/>
              </w:rPr>
            </w:pPr>
            <w:r>
              <w:rPr>
                <w:rFonts w:ascii="Times New Roman" w:hAnsi="Times New Roman" w:cs="Times New Roman"/>
                <w:b w:val="0"/>
                <w:bCs/>
              </w:rPr>
              <w:t xml:space="preserve">Nitrogen free extract </w:t>
            </w:r>
          </w:p>
        </w:tc>
        <w:tc>
          <w:tcPr>
            <w:tcW w:w="2538" w:type="pct"/>
            <w:tcBorders>
              <w:top w:val="nil"/>
              <w:bottom w:val="nil"/>
            </w:tcBorders>
          </w:tcPr>
          <w:p>
            <w:pPr>
              <w:pStyle w:val="18"/>
              <w:spacing w:before="240" w:after="0" w:line="240" w:lineRule="auto"/>
              <w:ind w:left="0"/>
              <w:jc w:val="both"/>
              <w:rPr>
                <w:rFonts w:ascii="Times New Roman" w:hAnsi="Times New Roman" w:cs="Times New Roman"/>
              </w:rPr>
            </w:pPr>
            <w:bookmarkStart w:id="14" w:name="_Hlk13828353"/>
            <w:r>
              <w:rPr>
                <w:rFonts w:ascii="Times New Roman" w:hAnsi="Times New Roman" w:cs="Times New Roman"/>
              </w:rPr>
              <w:t>26.58±2.91</w:t>
            </w:r>
            <w:bookmarkEnd w:id="14"/>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 w:hRule="atLeast"/>
        </w:trPr>
        <w:tc>
          <w:tcPr>
            <w:tcW w:w="2462" w:type="pct"/>
            <w:tcBorders>
              <w:top w:val="nil"/>
              <w:bottom w:val="single" w:color="auto" w:sz="4" w:space="0"/>
            </w:tcBorders>
          </w:tcPr>
          <w:p>
            <w:pPr>
              <w:pStyle w:val="18"/>
              <w:spacing w:after="0" w:line="240" w:lineRule="auto"/>
              <w:ind w:left="0"/>
              <w:jc w:val="both"/>
              <w:rPr>
                <w:rFonts w:ascii="Times New Roman" w:hAnsi="Times New Roman" w:cs="Times New Roman"/>
                <w:b w:val="0"/>
                <w:bCs/>
              </w:rPr>
            </w:pPr>
            <w:r>
              <w:rPr>
                <w:rFonts w:ascii="Times New Roman" w:hAnsi="Times New Roman" w:cs="Times New Roman"/>
                <w:b w:val="0"/>
                <w:bCs/>
              </w:rPr>
              <w:t>Caloric value (Kcal)</w:t>
            </w:r>
          </w:p>
        </w:tc>
        <w:tc>
          <w:tcPr>
            <w:tcW w:w="2538" w:type="pct"/>
            <w:tcBorders>
              <w:top w:val="nil"/>
              <w:bottom w:val="single" w:color="auto" w:sz="4" w:space="0"/>
            </w:tcBorders>
          </w:tcPr>
          <w:p>
            <w:pPr>
              <w:pStyle w:val="18"/>
              <w:spacing w:before="240" w:after="0" w:line="240" w:lineRule="auto"/>
              <w:ind w:left="0"/>
              <w:jc w:val="both"/>
              <w:rPr>
                <w:rFonts w:ascii="Times New Roman" w:hAnsi="Times New Roman" w:cs="Times New Roman"/>
              </w:rPr>
            </w:pPr>
            <w:r>
              <w:rPr>
                <w:rFonts w:ascii="Times New Roman" w:hAnsi="Times New Roman" w:cs="Times New Roman"/>
              </w:rPr>
              <w:t>397.65±11.97</w:t>
            </w:r>
          </w:p>
        </w:tc>
      </w:tr>
    </w:tbl>
    <w:p>
      <w:pPr>
        <w:pStyle w:val="18"/>
        <w:spacing w:line="240" w:lineRule="auto"/>
        <w:ind w:left="0"/>
        <w:jc w:val="both"/>
        <w:rPr>
          <w:rFonts w:ascii="Times New Roman" w:hAnsi="Times New Roman" w:cs="Times New Roman"/>
          <w:sz w:val="24"/>
          <w:szCs w:val="24"/>
        </w:rPr>
      </w:pPr>
      <w:r>
        <w:rPr>
          <w:rFonts w:ascii="Times New Roman" w:hAnsi="Times New Roman" w:cs="Times New Roman"/>
        </w:rPr>
        <w:t>Values are means ± standard deviation of triplicate samples</w:t>
      </w:r>
      <w:r>
        <w:rPr>
          <w:rFonts w:ascii="Times New Roman" w:hAnsi="Times New Roman" w:cs="Times New Roman"/>
          <w:sz w:val="24"/>
          <w:szCs w:val="24"/>
        </w:rPr>
        <w:t xml:space="preserve">.  </w:t>
      </w: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i/>
        </w:rPr>
      </w:pPr>
      <w:r>
        <w:rPr>
          <w:rFonts w:ascii="Times New Roman" w:hAnsi="Times New Roman" w:cs="Times New Roman"/>
          <w:i/>
        </w:rPr>
        <w:t xml:space="preserve">3.3 Monthly Variation in </w:t>
      </w:r>
      <w:bookmarkStart w:id="15" w:name="_Hlk20136858"/>
      <w:r>
        <w:rPr>
          <w:rFonts w:ascii="Times New Roman" w:hAnsi="Times New Roman" w:cs="Times New Roman"/>
          <w:i/>
        </w:rPr>
        <w:t>the Proximate Composition</w:t>
      </w:r>
      <w:bookmarkEnd w:id="15"/>
    </w:p>
    <w:p>
      <w:pPr>
        <w:spacing w:line="480" w:lineRule="auto"/>
        <w:jc w:val="both"/>
        <w:rPr>
          <w:rFonts w:ascii="Times New Roman" w:hAnsi="Times New Roman" w:cs="Times New Roman"/>
        </w:rPr>
      </w:pPr>
      <w:r>
        <w:rPr>
          <w:rFonts w:ascii="Times New Roman" w:hAnsi="Times New Roman" w:cs="Times New Roman"/>
        </w:rPr>
        <w:t>The monthly variation in the proximate</w:t>
      </w:r>
      <w:r>
        <w:rPr>
          <w:rFonts w:ascii="Times New Roman" w:hAnsi="Times New Roman" w:cs="Times New Roman"/>
          <w:b/>
        </w:rPr>
        <w:t xml:space="preserve"> </w:t>
      </w:r>
      <w:r>
        <w:rPr>
          <w:rFonts w:ascii="Times New Roman" w:hAnsi="Times New Roman" w:cs="Times New Roman"/>
        </w:rPr>
        <w:t xml:space="preserve">composition of </w:t>
      </w:r>
      <w:r>
        <w:rPr>
          <w:rFonts w:ascii="Times New Roman" w:hAnsi="Times New Roman" w:cs="Times New Roman"/>
          <w:i/>
        </w:rPr>
        <w:t>T. adansonii</w:t>
      </w:r>
      <w:r>
        <w:rPr>
          <w:rFonts w:ascii="Times New Roman" w:hAnsi="Times New Roman" w:cs="Times New Roman"/>
        </w:rPr>
        <w:t xml:space="preserve"> is presented in figure 2. The highest crude protein content was recorded in September while the least was seen in February. However, there was no significant difference (P&gt;0.05) in the monthly composition of crude protein in this clam. The highest moisture content was recorded on September while the least was seen in July. However, there was no significant difference (P&gt;0.05) in the monthly composition of moisture in this clam. The highest carbohydrate content was recorded in January while the least was seen in April but was not significantly different (P&gt;0.05). Ash content showed the highest content in September and the least in February and were not significantly different (P&gt;0.05). Lipid content showed the highest value in July while the least was seen in October. However, there was no significant difference (P&gt;0.05) in the monthly composition of lipid in this clam. Crude fibre content of </w:t>
      </w:r>
      <w:r>
        <w:rPr>
          <w:rFonts w:ascii="Times New Roman" w:hAnsi="Times New Roman" w:cs="Times New Roman"/>
          <w:i/>
        </w:rPr>
        <w:t>T. adansonii</w:t>
      </w:r>
      <w:r>
        <w:rPr>
          <w:rFonts w:ascii="Times New Roman" w:hAnsi="Times New Roman" w:cs="Times New Roman"/>
        </w:rPr>
        <w:t xml:space="preserve"> showed the highest value in October while the least was seen in November and was not significantly different (P&gt;0.05). </w:t>
      </w:r>
    </w:p>
    <w:p>
      <w:pPr>
        <w:spacing w:after="0" w:line="480" w:lineRule="auto"/>
        <w:jc w:val="both"/>
        <w:rPr>
          <w:rFonts w:ascii="Times New Roman" w:hAnsi="Times New Roman" w:cs="Times New Roman"/>
          <w:sz w:val="24"/>
          <w:szCs w:val="24"/>
        </w:rPr>
      </w:pPr>
      <w:r>
        <w:rPr>
          <w:lang w:val="en-GB" w:eastAsia="en-GB"/>
        </w:rPr>
        <w:drawing>
          <wp:inline distT="0" distB="0" distL="0" distR="0">
            <wp:extent cx="5725795" cy="290449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480" w:lineRule="auto"/>
        <w:jc w:val="both"/>
        <w:rPr>
          <w:rFonts w:ascii="Times New Roman" w:hAnsi="Times New Roman" w:cs="Times New Roman"/>
          <w:i/>
        </w:rPr>
      </w:pPr>
    </w:p>
    <w:p>
      <w:pPr>
        <w:spacing w:after="0" w:line="480" w:lineRule="auto"/>
        <w:jc w:val="both"/>
        <w:rPr>
          <w:rFonts w:ascii="Times New Roman" w:hAnsi="Times New Roman" w:cs="Times New Roman"/>
          <w:i/>
        </w:rPr>
      </w:pPr>
      <w:r>
        <w:rPr>
          <w:rFonts w:ascii="Times New Roman" w:hAnsi="Times New Roman" w:cs="Times New Roman"/>
          <w:i/>
        </w:rPr>
        <w:t>3.4 Monthly Variation in Caloric Value</w:t>
      </w:r>
    </w:p>
    <w:p>
      <w:pPr>
        <w:spacing w:line="480" w:lineRule="auto"/>
        <w:jc w:val="both"/>
        <w:rPr>
          <w:rFonts w:ascii="Times New Roman" w:hAnsi="Times New Roman" w:cs="Times New Roman"/>
        </w:rPr>
      </w:pPr>
      <w:r>
        <w:rPr>
          <w:rFonts w:ascii="Times New Roman" w:hAnsi="Times New Roman" w:cs="Times New Roman"/>
        </w:rPr>
        <w:t xml:space="preserve">The monthly variation in the caloric value of </w:t>
      </w:r>
      <w:r>
        <w:rPr>
          <w:rFonts w:ascii="Times New Roman" w:hAnsi="Times New Roman" w:cs="Times New Roman"/>
          <w:i/>
        </w:rPr>
        <w:t>T. adansonii</w:t>
      </w:r>
      <w:r>
        <w:rPr>
          <w:rFonts w:ascii="Times New Roman" w:hAnsi="Times New Roman" w:cs="Times New Roman"/>
        </w:rPr>
        <w:t xml:space="preserve"> is presented in figure 3. The highest caloric value was recorded in July while the least was seen in April. However, caloric values were significantly higher (P&lt;0.05) in June and July.</w:t>
      </w:r>
    </w:p>
    <w:p>
      <w:pPr>
        <w:spacing w:line="480" w:lineRule="auto"/>
        <w:jc w:val="center"/>
        <w:rPr>
          <w:rFonts w:ascii="Times New Roman" w:hAnsi="Times New Roman" w:cs="Times New Roman"/>
          <w:sz w:val="24"/>
          <w:szCs w:val="24"/>
        </w:rPr>
      </w:pPr>
      <w:r>
        <w:rPr>
          <w:lang w:val="en-GB" w:eastAsia="en-GB"/>
        </w:rPr>
        <w:drawing>
          <wp:inline distT="0" distB="0" distL="0" distR="0">
            <wp:extent cx="5128895" cy="224536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before="240" w:line="480" w:lineRule="auto"/>
        <w:rPr>
          <w:rFonts w:ascii="Times New Roman" w:hAnsi="Times New Roman" w:cs="Times New Roman"/>
          <w:b/>
          <w:sz w:val="24"/>
          <w:szCs w:val="24"/>
        </w:rPr>
      </w:pPr>
      <w:r>
        <w:rPr>
          <w:rFonts w:ascii="Times New Roman" w:hAnsi="Times New Roman" w:cs="Times New Roman"/>
          <w:b/>
          <w:sz w:val="24"/>
          <w:szCs w:val="24"/>
        </w:rPr>
        <w:t>4. Discussion</w:t>
      </w:r>
    </w:p>
    <w:p>
      <w:pPr>
        <w:pStyle w:val="20"/>
        <w:spacing w:line="480" w:lineRule="auto"/>
        <w:ind w:left="0" w:firstLine="0"/>
        <w:rPr>
          <w:rFonts w:ascii="Times New Roman" w:hAnsi="Times New Roman"/>
          <w:lang w:val="en-GB"/>
        </w:rPr>
      </w:pPr>
      <w:r>
        <w:rPr>
          <w:rFonts w:ascii="Times New Roman" w:hAnsi="Times New Roman"/>
          <w:i/>
          <w:iCs/>
          <w:lang w:val="en-GB"/>
        </w:rPr>
        <w:t>Tagelus adansonii</w:t>
      </w:r>
      <w:r>
        <w:rPr>
          <w:rFonts w:ascii="Times New Roman" w:hAnsi="Times New Roman"/>
          <w:lang w:val="en-GB"/>
        </w:rPr>
        <w:t xml:space="preserve"> caught in Iko region of the Niger delta estuaries accumulate and concentrate microbial pathogens and those that are GRAS (Generally Regarded as Safe) present in the water. In all, eleven (11) bacterial species and six (6) fungal species were isolated. </w:t>
      </w:r>
      <w:r>
        <w:rPr>
          <w:rFonts w:ascii="Times New Roman" w:hAnsi="Times New Roman"/>
          <w:i/>
          <w:lang w:val="en-GB"/>
        </w:rPr>
        <w:t>Bacillus subtilis</w:t>
      </w:r>
      <w:r>
        <w:rPr>
          <w:rFonts w:ascii="Times New Roman" w:hAnsi="Times New Roman"/>
          <w:lang w:val="en-GB"/>
        </w:rPr>
        <w:t xml:space="preserve"> isolated from the sample was an indication that not only pathogenic microbes but useful ones were also isolated. For instance the isolation of </w:t>
      </w:r>
      <w:r>
        <w:rPr>
          <w:rFonts w:ascii="Times New Roman" w:hAnsi="Times New Roman"/>
          <w:i/>
          <w:lang w:val="en-GB"/>
        </w:rPr>
        <w:t>B. subtilis</w:t>
      </w:r>
      <w:r>
        <w:rPr>
          <w:rFonts w:ascii="Times New Roman" w:hAnsi="Times New Roman"/>
          <w:lang w:val="en-GB"/>
        </w:rPr>
        <w:t xml:space="preserve"> was an indication that commercially useful bacteria (GRAS) was present in the samples. According to </w:t>
      </w:r>
      <w:r>
        <w:rPr>
          <w:rFonts w:ascii="Times New Roman" w:hAnsi="Times New Roman"/>
          <w:highlight w:val="yellow"/>
          <w:lang w:val="en-GB"/>
        </w:rPr>
        <w:t xml:space="preserve">Martinez </w:t>
      </w:r>
      <w:r>
        <w:rPr>
          <w:rFonts w:ascii="Times New Roman" w:hAnsi="Times New Roman"/>
          <w:highlight w:val="yellow"/>
          <w:vertAlign w:val="superscript"/>
          <w:lang w:val="en-GB"/>
        </w:rPr>
        <w:t>[17]</w:t>
      </w:r>
      <w:r>
        <w:rPr>
          <w:rFonts w:ascii="Times New Roman" w:hAnsi="Times New Roman"/>
          <w:highlight w:val="yellow"/>
          <w:lang w:val="en-GB"/>
        </w:rPr>
        <w:t>,</w:t>
      </w:r>
      <w:r>
        <w:rPr>
          <w:rFonts w:ascii="Times New Roman" w:hAnsi="Times New Roman"/>
          <w:lang w:val="en-GB"/>
        </w:rPr>
        <w:t xml:space="preserve"> </w:t>
      </w:r>
      <w:r>
        <w:rPr>
          <w:rFonts w:ascii="Times New Roman" w:hAnsi="Times New Roman"/>
          <w:i/>
          <w:lang w:val="en-GB"/>
        </w:rPr>
        <w:t>B. subtilis</w:t>
      </w:r>
      <w:r>
        <w:rPr>
          <w:rFonts w:ascii="Times New Roman" w:hAnsi="Times New Roman"/>
          <w:lang w:val="en-GB"/>
        </w:rPr>
        <w:t xml:space="preserve"> is important in biotechnology for enzyme production. In food industry, it is used in the production of animal feed additives, sweeteners, fermented products and flavour enhancers. The production of household detergent, vitamins and antibiotics is also accomplished using </w:t>
      </w:r>
      <w:r>
        <w:rPr>
          <w:rFonts w:ascii="Times New Roman" w:hAnsi="Times New Roman"/>
          <w:i/>
          <w:lang w:val="en-GB"/>
        </w:rPr>
        <w:t xml:space="preserve">B. subtilis. </w:t>
      </w:r>
      <w:r>
        <w:rPr>
          <w:rFonts w:ascii="Times New Roman" w:hAnsi="Times New Roman"/>
          <w:lang w:val="en-GB"/>
        </w:rPr>
        <w:t xml:space="preserve">Above all, it is used in the development of vaccines and in the development of sporicides. </w:t>
      </w:r>
      <w:r>
        <w:rPr>
          <w:rFonts w:ascii="Times New Roman" w:hAnsi="Times New Roman"/>
          <w:i/>
          <w:lang w:val="en-GB"/>
        </w:rPr>
        <w:t>Micrococcus species</w:t>
      </w:r>
      <w:r>
        <w:rPr>
          <w:rFonts w:ascii="Times New Roman" w:hAnsi="Times New Roman"/>
          <w:lang w:val="en-GB"/>
        </w:rPr>
        <w:t xml:space="preserve"> is very useful in cheese production. It helps in the ripening cheeses made from farm animals’ milk; halotolerant </w:t>
      </w:r>
      <w:r>
        <w:rPr>
          <w:rFonts w:ascii="Times New Roman" w:hAnsi="Times New Roman"/>
          <w:i/>
          <w:lang w:val="en-GB"/>
        </w:rPr>
        <w:t xml:space="preserve">M. Species </w:t>
      </w:r>
      <w:r>
        <w:rPr>
          <w:rFonts w:ascii="Times New Roman" w:hAnsi="Times New Roman"/>
          <w:lang w:val="en-GB"/>
        </w:rPr>
        <w:t xml:space="preserve">are major component of micro flora of some cheeses and help in desired body, texture and flavour of soft cheese. Although not considered a pathogen, </w:t>
      </w:r>
      <w:r>
        <w:rPr>
          <w:rFonts w:ascii="Times New Roman" w:hAnsi="Times New Roman"/>
          <w:i/>
          <w:lang w:val="en-GB"/>
        </w:rPr>
        <w:t xml:space="preserve">M. Species </w:t>
      </w:r>
      <w:r>
        <w:rPr>
          <w:rFonts w:ascii="Times New Roman" w:hAnsi="Times New Roman"/>
          <w:lang w:val="en-GB"/>
        </w:rPr>
        <w:t xml:space="preserve">has generally been regarded as opportunistic pathogen since some strains such as </w:t>
      </w:r>
      <w:r>
        <w:rPr>
          <w:rFonts w:ascii="Times New Roman" w:hAnsi="Times New Roman"/>
          <w:i/>
          <w:lang w:val="en-GB"/>
        </w:rPr>
        <w:t>M. luteus</w:t>
      </w:r>
      <w:r>
        <w:rPr>
          <w:rFonts w:ascii="Times New Roman" w:hAnsi="Times New Roman"/>
          <w:lang w:val="en-GB"/>
        </w:rPr>
        <w:t xml:space="preserve"> has been implicated as the causative agent of septic arthritis, recurrent bacteraemia etc. and pneumonia in patient with acute leukaemia </w:t>
      </w:r>
      <w:r>
        <w:rPr>
          <w:rFonts w:ascii="Times New Roman" w:hAnsi="Times New Roman"/>
          <w:highlight w:val="yellow"/>
          <w:vertAlign w:val="superscript"/>
          <w:lang w:val="en-GB"/>
        </w:rPr>
        <w:t>[18]</w:t>
      </w:r>
      <w:r>
        <w:rPr>
          <w:rFonts w:ascii="Times New Roman" w:hAnsi="Times New Roman"/>
          <w:highlight w:val="yellow"/>
          <w:lang w:val="en-GB"/>
        </w:rPr>
        <w:t>.</w:t>
      </w:r>
    </w:p>
    <w:p>
      <w:pPr>
        <w:spacing w:after="0" w:line="480" w:lineRule="auto"/>
        <w:jc w:val="both"/>
        <w:rPr>
          <w:rFonts w:ascii="Times New Roman" w:hAnsi="Times New Roman"/>
          <w:lang w:val="en-GB"/>
        </w:rPr>
      </w:pPr>
      <w:r>
        <w:rPr>
          <w:rFonts w:ascii="Times New Roman" w:hAnsi="Times New Roman"/>
          <w:lang w:val="en-GB"/>
        </w:rPr>
        <w:t xml:space="preserve">Some of the isolates may have been derived from external sources during handling and as such, the clams become transient carriers of such microbes.  For instance, isolation of </w:t>
      </w:r>
      <w:r>
        <w:rPr>
          <w:rFonts w:ascii="Times New Roman" w:hAnsi="Times New Roman"/>
          <w:i/>
          <w:lang w:val="en-GB"/>
        </w:rPr>
        <w:t>Proteus</w:t>
      </w:r>
      <w:r>
        <w:rPr>
          <w:rFonts w:ascii="Times New Roman" w:hAnsi="Times New Roman"/>
          <w:lang w:val="en-GB"/>
        </w:rPr>
        <w:t xml:space="preserve"> Spp. may mean that the sample was not prepared hygienically so that it entered from the environment and when consumed by humans it can cause osteomyelitis </w:t>
      </w:r>
      <w:r>
        <w:rPr>
          <w:rFonts w:ascii="Times New Roman" w:hAnsi="Times New Roman"/>
          <w:highlight w:val="yellow"/>
          <w:vertAlign w:val="superscript"/>
          <w:lang w:val="en-GB"/>
        </w:rPr>
        <w:t>[19]</w:t>
      </w:r>
      <w:r>
        <w:rPr>
          <w:rFonts w:ascii="Times New Roman" w:hAnsi="Times New Roman"/>
          <w:lang w:val="en-GB"/>
        </w:rPr>
        <w:t xml:space="preserve">. However, in this study most isolates from the clam gut and homogenized flesh may be accounted for mainly by the filter feeding effect of the clam </w:t>
      </w:r>
      <w:r>
        <w:rPr>
          <w:rFonts w:ascii="Times New Roman" w:hAnsi="Times New Roman"/>
          <w:highlight w:val="yellow"/>
          <w:vertAlign w:val="superscript"/>
          <w:lang w:val="en-GB"/>
        </w:rPr>
        <w:t>[20]</w:t>
      </w:r>
      <w:r>
        <w:rPr>
          <w:rFonts w:ascii="Times New Roman" w:hAnsi="Times New Roman"/>
          <w:highlight w:val="yellow"/>
          <w:lang w:val="en-GB"/>
        </w:rPr>
        <w:t>.</w:t>
      </w:r>
      <w:r>
        <w:rPr>
          <w:rFonts w:ascii="Times New Roman" w:hAnsi="Times New Roman"/>
          <w:lang w:val="en-GB"/>
        </w:rPr>
        <w:t xml:space="preserve"> </w:t>
      </w:r>
      <w:r>
        <w:rPr>
          <w:rFonts w:ascii="Times New Roman" w:hAnsi="Times New Roman"/>
          <w:i/>
          <w:color w:val="2E2E2E"/>
        </w:rPr>
        <w:t>Klebsiella</w:t>
      </w:r>
      <w:r>
        <w:rPr>
          <w:rFonts w:ascii="Times New Roman" w:hAnsi="Times New Roman"/>
          <w:color w:val="2E2E2E"/>
        </w:rPr>
        <w:t xml:space="preserve"> Spp can causes diseases and spoilage therefore its isolation from </w:t>
      </w:r>
      <w:r>
        <w:rPr>
          <w:rFonts w:ascii="Times New Roman" w:hAnsi="Times New Roman"/>
          <w:i/>
          <w:color w:val="2E2E2E"/>
        </w:rPr>
        <w:t>T. adansonii</w:t>
      </w:r>
      <w:r>
        <w:rPr>
          <w:rFonts w:ascii="Times New Roman" w:hAnsi="Times New Roman"/>
          <w:color w:val="2E2E2E"/>
        </w:rPr>
        <w:t xml:space="preserve"> mean that if eaten raw or not well processed it can cause UTIs, wound and respiratory infection as well as serious pneumonia in humans </w:t>
      </w:r>
      <w:r>
        <w:rPr>
          <w:rFonts w:ascii="Times New Roman" w:hAnsi="Times New Roman"/>
          <w:color w:val="2E2E2E"/>
          <w:highlight w:val="yellow"/>
          <w:vertAlign w:val="superscript"/>
        </w:rPr>
        <w:t>[21]</w:t>
      </w:r>
      <w:r>
        <w:rPr>
          <w:rFonts w:ascii="Times New Roman" w:hAnsi="Times New Roman"/>
          <w:color w:val="2E2E2E"/>
          <w:highlight w:val="yellow"/>
        </w:rPr>
        <w:t>.</w:t>
      </w:r>
      <w:r>
        <w:rPr>
          <w:rFonts w:ascii="Times New Roman" w:hAnsi="Times New Roman"/>
          <w:color w:val="2E2E2E"/>
        </w:rPr>
        <w:t xml:space="preserve"> </w:t>
      </w:r>
      <w:r>
        <w:rPr>
          <w:rFonts w:ascii="Times New Roman" w:hAnsi="Times New Roman"/>
          <w:i/>
          <w:lang w:val="en-GB"/>
        </w:rPr>
        <w:t>Staphylocccus aureus</w:t>
      </w:r>
      <w:r>
        <w:rPr>
          <w:rFonts w:ascii="Times New Roman" w:hAnsi="Times New Roman"/>
          <w:lang w:val="en-GB"/>
        </w:rPr>
        <w:t xml:space="preserve"> is pathogenic and has been isolated in the sample. This means that consumption of this sample by human can result in the type of food poisoning known as SFP (staphylococcal food poisoning) and late on-set infection in neonates </w:t>
      </w:r>
      <w:r>
        <w:rPr>
          <w:rFonts w:ascii="Times New Roman" w:hAnsi="Times New Roman"/>
          <w:highlight w:val="yellow"/>
          <w:vertAlign w:val="superscript"/>
          <w:lang w:val="en-GB"/>
        </w:rPr>
        <w:t>[22]</w:t>
      </w:r>
      <w:r>
        <w:rPr>
          <w:rFonts w:ascii="Times New Roman" w:hAnsi="Times New Roman"/>
          <w:lang w:val="en-GB"/>
        </w:rPr>
        <w:t xml:space="preserve">. </w:t>
      </w:r>
      <w:r>
        <w:rPr>
          <w:rFonts w:ascii="Times New Roman" w:hAnsi="Times New Roman"/>
          <w:i/>
          <w:lang w:val="en-GB"/>
        </w:rPr>
        <w:t>Vibrio cholera</w:t>
      </w:r>
      <w:r>
        <w:rPr>
          <w:rFonts w:ascii="Times New Roman" w:hAnsi="Times New Roman"/>
          <w:lang w:val="en-GB"/>
        </w:rPr>
        <w:t xml:space="preserve"> and </w:t>
      </w:r>
      <w:r>
        <w:rPr>
          <w:rFonts w:ascii="Times New Roman" w:hAnsi="Times New Roman"/>
          <w:i/>
          <w:shd w:val="clear" w:color="auto" w:fill="FFFFFF"/>
        </w:rPr>
        <w:t>Vibrio parahaemolyticus</w:t>
      </w:r>
      <w:r>
        <w:rPr>
          <w:rFonts w:ascii="Times New Roman" w:hAnsi="Times New Roman"/>
          <w:shd w:val="clear" w:color="auto" w:fill="FFFFFF"/>
        </w:rPr>
        <w:t xml:space="preserve"> were also isolated from </w:t>
      </w:r>
      <w:r>
        <w:rPr>
          <w:rFonts w:ascii="Times New Roman" w:hAnsi="Times New Roman"/>
          <w:i/>
          <w:shd w:val="clear" w:color="auto" w:fill="FFFFFF"/>
        </w:rPr>
        <w:t>T. adansonii</w:t>
      </w:r>
      <w:r>
        <w:rPr>
          <w:rFonts w:ascii="Times New Roman" w:hAnsi="Times New Roman"/>
          <w:shd w:val="clear" w:color="auto" w:fill="FFFFFF"/>
        </w:rPr>
        <w:t xml:space="preserve"> and according to </w:t>
      </w:r>
      <w:r>
        <w:rPr>
          <w:rFonts w:ascii="Times New Roman" w:hAnsi="Times New Roman"/>
        </w:rPr>
        <w:t>Ababouch</w:t>
      </w:r>
      <w:r>
        <w:rPr>
          <w:rFonts w:ascii="Times New Roman" w:hAnsi="Times New Roman"/>
          <w:vertAlign w:val="superscript"/>
        </w:rPr>
        <w:t xml:space="preserve"> </w:t>
      </w:r>
      <w:r>
        <w:rPr>
          <w:rFonts w:ascii="Times New Roman" w:hAnsi="Times New Roman"/>
          <w:i/>
        </w:rPr>
        <w:t>et al</w:t>
      </w:r>
      <w:r>
        <w:rPr>
          <w:rFonts w:ascii="Times New Roman" w:hAnsi="Times New Roman"/>
        </w:rPr>
        <w:t xml:space="preserve">, </w:t>
      </w:r>
      <w:r>
        <w:rPr>
          <w:rFonts w:ascii="Times New Roman" w:hAnsi="Times New Roman"/>
          <w:highlight w:val="yellow"/>
          <w:vertAlign w:val="superscript"/>
        </w:rPr>
        <w:t>[23]</w:t>
      </w:r>
      <w:r>
        <w:rPr>
          <w:rFonts w:ascii="Times New Roman" w:hAnsi="Times New Roman"/>
          <w:vertAlign w:val="superscript"/>
        </w:rPr>
        <w:t xml:space="preserve"> </w:t>
      </w:r>
      <w:r>
        <w:rPr>
          <w:rFonts w:ascii="Times New Roman" w:hAnsi="Times New Roman"/>
        </w:rPr>
        <w:t xml:space="preserve">they both cause gastrointestinal disease. It can hereby be deduced that eating </w:t>
      </w:r>
      <w:r>
        <w:rPr>
          <w:rFonts w:ascii="Times New Roman" w:hAnsi="Times New Roman"/>
          <w:shd w:val="clear" w:color="auto" w:fill="FFFFFF"/>
        </w:rPr>
        <w:t xml:space="preserve">of raw or unprocessed </w:t>
      </w:r>
      <w:r>
        <w:rPr>
          <w:rFonts w:ascii="Times New Roman" w:hAnsi="Times New Roman"/>
          <w:i/>
          <w:shd w:val="clear" w:color="auto" w:fill="FFFFFF"/>
        </w:rPr>
        <w:t>T. adansonii</w:t>
      </w:r>
      <w:r>
        <w:rPr>
          <w:rFonts w:ascii="Times New Roman" w:hAnsi="Times New Roman"/>
          <w:shd w:val="clear" w:color="auto" w:fill="FFFFFF"/>
        </w:rPr>
        <w:t xml:space="preserve"> from this study area can result in outbreak of cholera </w:t>
      </w:r>
      <w:r>
        <w:rPr>
          <w:rFonts w:ascii="Times New Roman" w:hAnsi="Times New Roman"/>
          <w:i/>
          <w:shd w:val="clear" w:color="auto" w:fill="FFFFFF"/>
        </w:rPr>
        <w:t xml:space="preserve">V. parahaemolyticus </w:t>
      </w:r>
      <w:r>
        <w:rPr>
          <w:rFonts w:ascii="Times New Roman" w:hAnsi="Times New Roman"/>
          <w:shd w:val="clear" w:color="auto" w:fill="FFFFFF"/>
        </w:rPr>
        <w:t xml:space="preserve">infection. According to Powel </w:t>
      </w:r>
      <w:r>
        <w:rPr>
          <w:rFonts w:ascii="Times New Roman" w:hAnsi="Times New Roman"/>
          <w:i/>
          <w:shd w:val="clear" w:color="auto" w:fill="FFFFFF"/>
        </w:rPr>
        <w:t>et al</w:t>
      </w:r>
      <w:r>
        <w:rPr>
          <w:rFonts w:ascii="Times New Roman" w:hAnsi="Times New Roman"/>
          <w:shd w:val="clear" w:color="auto" w:fill="FFFFFF"/>
        </w:rPr>
        <w:t xml:space="preserve">. </w:t>
      </w:r>
      <w:r>
        <w:rPr>
          <w:rFonts w:ascii="Times New Roman" w:hAnsi="Times New Roman"/>
          <w:highlight w:val="yellow"/>
          <w:shd w:val="clear" w:color="auto" w:fill="FFFFFF"/>
          <w:vertAlign w:val="superscript"/>
        </w:rPr>
        <w:t>[24]</w:t>
      </w:r>
      <w:r>
        <w:rPr>
          <w:rFonts w:ascii="Times New Roman" w:hAnsi="Times New Roman"/>
          <w:shd w:val="clear" w:color="auto" w:fill="FFFFFF"/>
        </w:rPr>
        <w:t xml:space="preserve"> </w:t>
      </w:r>
      <w:r>
        <w:rPr>
          <w:rFonts w:ascii="Times New Roman" w:hAnsi="Times New Roman"/>
          <w:i/>
          <w:shd w:val="clear" w:color="auto" w:fill="FFFFFF"/>
        </w:rPr>
        <w:t>V. parahaemolyticus</w:t>
      </w:r>
      <w:r>
        <w:rPr>
          <w:rFonts w:ascii="Times New Roman" w:hAnsi="Times New Roman"/>
          <w:shd w:val="clear" w:color="auto" w:fill="FFFFFF"/>
        </w:rPr>
        <w:t xml:space="preserve"> has been responsible for several recent</w:t>
      </w:r>
      <w:r>
        <w:rPr>
          <w:rFonts w:ascii="Times New Roman" w:hAnsi="Times New Roman"/>
        </w:rPr>
        <w:t xml:space="preserve"> </w:t>
      </w:r>
      <w:r>
        <w:rPr>
          <w:rFonts w:ascii="Times New Roman" w:hAnsi="Times New Roman"/>
          <w:shd w:val="clear" w:color="auto" w:fill="FFFFFF"/>
        </w:rPr>
        <w:t>seafood-associated outbreaks and therefore considered an</w:t>
      </w:r>
      <w:r>
        <w:rPr>
          <w:rFonts w:ascii="Times New Roman" w:hAnsi="Times New Roman"/>
        </w:rPr>
        <w:t xml:space="preserve"> </w:t>
      </w:r>
      <w:r>
        <w:rPr>
          <w:rFonts w:ascii="Times New Roman" w:hAnsi="Times New Roman"/>
          <w:shd w:val="clear" w:color="auto" w:fill="FFFFFF"/>
        </w:rPr>
        <w:t>emerging bacterial pathogen in Europe.</w:t>
      </w:r>
    </w:p>
    <w:p>
      <w:pPr>
        <w:pStyle w:val="20"/>
        <w:spacing w:line="480" w:lineRule="auto"/>
        <w:ind w:left="0" w:firstLine="0"/>
        <w:rPr>
          <w:rFonts w:ascii="Times New Roman" w:hAnsi="Times New Roman"/>
          <w:spacing w:val="11"/>
          <w:shd w:val="clear" w:color="auto" w:fill="FFFFFF"/>
        </w:rPr>
      </w:pPr>
      <w:r>
        <w:rPr>
          <w:rFonts w:ascii="Times New Roman" w:hAnsi="Times New Roman"/>
          <w:lang w:val="en-GB"/>
        </w:rPr>
        <w:t xml:space="preserve">The isolation of </w:t>
      </w:r>
      <w:r>
        <w:rPr>
          <w:rFonts w:ascii="Times New Roman" w:hAnsi="Times New Roman"/>
          <w:i/>
          <w:lang w:val="en-GB"/>
        </w:rPr>
        <w:t>Enterobacter</w:t>
      </w:r>
      <w:r>
        <w:rPr>
          <w:rFonts w:ascii="Times New Roman" w:hAnsi="Times New Roman"/>
          <w:lang w:val="en-GB"/>
        </w:rPr>
        <w:t xml:space="preserve"> Spp. from the sample is an indication that consumption of unprocessed clam from this study area can result in enterobacter infections. Such infection include but not restricted to UTIs, bacteraemia, endocarditis, osteomyelitis etc. Escherichia coli </w:t>
      </w:r>
      <w:r>
        <w:rPr>
          <w:rFonts w:ascii="Times New Roman" w:hAnsi="Times New Roman"/>
          <w:shd w:val="clear" w:color="auto" w:fill="FFFFFF"/>
        </w:rPr>
        <w:t>isolation is</w:t>
      </w:r>
      <w:r>
        <w:rPr>
          <w:rFonts w:ascii="Times New Roman" w:hAnsi="Times New Roman"/>
          <w:lang w:val="en-GB"/>
        </w:rPr>
        <w:t xml:space="preserve"> an indicator for pathogenic organisms.</w:t>
      </w:r>
      <w:r>
        <w:rPr>
          <w:rFonts w:ascii="Times New Roman" w:hAnsi="Times New Roman"/>
          <w:i/>
          <w:lang w:val="en-GB"/>
        </w:rPr>
        <w:t xml:space="preserve"> </w:t>
      </w:r>
      <w:r>
        <w:rPr>
          <w:rFonts w:ascii="Times New Roman" w:hAnsi="Times New Roman"/>
          <w:shd w:val="clear" w:color="auto" w:fill="FFFFFF"/>
        </w:rPr>
        <w:t xml:space="preserve">The isolation of </w:t>
      </w:r>
      <w:r>
        <w:rPr>
          <w:rFonts w:ascii="Times New Roman" w:hAnsi="Times New Roman"/>
          <w:i/>
          <w:shd w:val="clear" w:color="auto" w:fill="FFFFFF"/>
        </w:rPr>
        <w:t>E. coli</w:t>
      </w:r>
      <w:r>
        <w:rPr>
          <w:rFonts w:ascii="Times New Roman" w:hAnsi="Times New Roman"/>
          <w:shd w:val="clear" w:color="auto" w:fill="FFFFFF"/>
        </w:rPr>
        <w:t xml:space="preserve"> from </w:t>
      </w:r>
      <w:r>
        <w:rPr>
          <w:rFonts w:ascii="Times New Roman" w:hAnsi="Times New Roman"/>
          <w:i/>
          <w:shd w:val="clear" w:color="auto" w:fill="FFFFFF"/>
        </w:rPr>
        <w:t>T. adansonii</w:t>
      </w:r>
      <w:r>
        <w:rPr>
          <w:rFonts w:ascii="Times New Roman" w:hAnsi="Times New Roman"/>
          <w:shd w:val="clear" w:color="auto" w:fill="FFFFFF"/>
        </w:rPr>
        <w:t xml:space="preserve"> in this study area is an indication of fecal contamination by man and his livestock. This is of public health significance as these organisms have generally been agent of gastroenteritis in humans </w:t>
      </w:r>
      <w:r>
        <w:rPr>
          <w:rFonts w:ascii="Times New Roman" w:hAnsi="Times New Roman"/>
          <w:highlight w:val="yellow"/>
          <w:shd w:val="clear" w:color="auto" w:fill="FFFFFF"/>
          <w:vertAlign w:val="superscript"/>
        </w:rPr>
        <w:t>[25, 27]</w:t>
      </w:r>
      <w:r>
        <w:rPr>
          <w:rFonts w:ascii="Times New Roman" w:hAnsi="Times New Roman"/>
          <w:highlight w:val="yellow"/>
          <w:shd w:val="clear" w:color="auto" w:fill="FFFFFF"/>
        </w:rPr>
        <w:t>.</w:t>
      </w:r>
      <w:r>
        <w:rPr>
          <w:rFonts w:ascii="Times New Roman" w:hAnsi="Times New Roman"/>
          <w:lang w:val="en-GB"/>
        </w:rPr>
        <w:t xml:space="preserve">  For instance </w:t>
      </w:r>
      <w:r>
        <w:rPr>
          <w:rStyle w:val="12"/>
          <w:rFonts w:ascii="Times New Roman" w:hAnsi="Times New Roman"/>
          <w:b w:val="0"/>
          <w:i/>
          <w:iCs/>
          <w:spacing w:val="11"/>
          <w:shd w:val="clear" w:color="auto" w:fill="FFFFFF"/>
        </w:rPr>
        <w:t>E. coli</w:t>
      </w:r>
      <w:r>
        <w:rPr>
          <w:rFonts w:ascii="Times New Roman" w:hAnsi="Times New Roman"/>
          <w:spacing w:val="11"/>
          <w:shd w:val="clear" w:color="auto" w:fill="FFFFFF"/>
        </w:rPr>
        <w:t xml:space="preserve"> have been reported to be responsible for foodborne illnesses and deaths </w:t>
      </w:r>
      <w:r>
        <w:rPr>
          <w:rFonts w:ascii="Times New Roman" w:hAnsi="Times New Roman"/>
          <w:spacing w:val="11"/>
          <w:highlight w:val="yellow"/>
          <w:shd w:val="clear" w:color="auto" w:fill="FFFFFF"/>
          <w:vertAlign w:val="superscript"/>
        </w:rPr>
        <w:t>[28]</w:t>
      </w:r>
      <w:r>
        <w:rPr>
          <w:rFonts w:ascii="Times New Roman" w:hAnsi="Times New Roman"/>
          <w:spacing w:val="11"/>
          <w:shd w:val="clear" w:color="auto" w:fill="FFFFFF"/>
        </w:rPr>
        <w:t xml:space="preserve"> through poor processing and handling of foods or farm animals. </w:t>
      </w:r>
      <w:r>
        <w:rPr>
          <w:rFonts w:ascii="Times New Roman" w:hAnsi="Times New Roman"/>
          <w:i/>
          <w:spacing w:val="11"/>
          <w:shd w:val="clear" w:color="auto" w:fill="FFFFFF"/>
        </w:rPr>
        <w:t>Bacillus cereus</w:t>
      </w:r>
      <w:r>
        <w:rPr>
          <w:rFonts w:ascii="Times New Roman" w:hAnsi="Times New Roman"/>
          <w:spacing w:val="11"/>
          <w:shd w:val="clear" w:color="auto" w:fill="FFFFFF"/>
        </w:rPr>
        <w:t xml:space="preserve"> is known to cause cutaneous disease. Its isolation from this sample is an indication that eating of unprocessed clam from this water body may result in skin infection as well as pneumonia, meningitis and necrotizing fasciitis </w:t>
      </w:r>
      <w:r>
        <w:rPr>
          <w:rFonts w:ascii="Times New Roman" w:hAnsi="Times New Roman"/>
          <w:spacing w:val="11"/>
          <w:highlight w:val="yellow"/>
          <w:shd w:val="clear" w:color="auto" w:fill="FFFFFF"/>
          <w:vertAlign w:val="superscript"/>
        </w:rPr>
        <w:t>[29]</w:t>
      </w:r>
      <w:r>
        <w:rPr>
          <w:rFonts w:ascii="Times New Roman" w:hAnsi="Times New Roman"/>
          <w:spacing w:val="11"/>
          <w:shd w:val="clear" w:color="auto" w:fill="FFFFFF"/>
        </w:rPr>
        <w:t xml:space="preserve">. </w:t>
      </w:r>
      <w:r>
        <w:rPr>
          <w:rFonts w:ascii="Times New Roman" w:hAnsi="Times New Roman"/>
          <w:i/>
          <w:spacing w:val="11"/>
          <w:shd w:val="clear" w:color="auto" w:fill="FFFFFF"/>
        </w:rPr>
        <w:t>Chromatium</w:t>
      </w:r>
      <w:r>
        <w:rPr>
          <w:rFonts w:ascii="Times New Roman" w:hAnsi="Times New Roman"/>
          <w:spacing w:val="11"/>
          <w:shd w:val="clear" w:color="auto" w:fill="FFFFFF"/>
        </w:rPr>
        <w:t xml:space="preserve"> Spp was also isolated from the sample. It is not pathogenic, rather it is used in photosynthetic sulfur oxidation which is an indication that it entered the clam body via the water body.</w:t>
      </w:r>
    </w:p>
    <w:p>
      <w:pPr>
        <w:pStyle w:val="20"/>
        <w:spacing w:line="480" w:lineRule="auto"/>
        <w:ind w:left="0" w:firstLine="0"/>
        <w:rPr>
          <w:rFonts w:ascii="Times New Roman" w:hAnsi="Times New Roman"/>
        </w:rPr>
      </w:pPr>
      <w:r>
        <w:rPr>
          <w:rFonts w:ascii="Times New Roman" w:hAnsi="Times New Roman"/>
          <w:spacing w:val="11"/>
          <w:shd w:val="clear" w:color="auto" w:fill="FFFFFF"/>
        </w:rPr>
        <w:t xml:space="preserve">The six (6) species of pathogenic fungi isolated from </w:t>
      </w:r>
      <w:r>
        <w:rPr>
          <w:rFonts w:ascii="Times New Roman" w:hAnsi="Times New Roman"/>
          <w:i/>
          <w:spacing w:val="11"/>
          <w:shd w:val="clear" w:color="auto" w:fill="FFFFFF"/>
        </w:rPr>
        <w:t>T. adansonii</w:t>
      </w:r>
      <w:r>
        <w:rPr>
          <w:rFonts w:ascii="Times New Roman" w:hAnsi="Times New Roman"/>
          <w:spacing w:val="11"/>
          <w:shd w:val="clear" w:color="auto" w:fill="FFFFFF"/>
        </w:rPr>
        <w:t xml:space="preserve"> in this study area include: </w:t>
      </w:r>
      <w:r>
        <w:rPr>
          <w:rFonts w:ascii="Times New Roman" w:hAnsi="Times New Roman"/>
          <w:i/>
          <w:spacing w:val="11"/>
          <w:shd w:val="clear" w:color="auto" w:fill="FFFFFF"/>
        </w:rPr>
        <w:t>Rhizopus</w:t>
      </w:r>
      <w:r>
        <w:rPr>
          <w:rFonts w:ascii="Times New Roman" w:hAnsi="Times New Roman"/>
          <w:spacing w:val="11"/>
          <w:shd w:val="clear" w:color="auto" w:fill="FFFFFF"/>
        </w:rPr>
        <w:t xml:space="preserve"> </w:t>
      </w:r>
      <w:r>
        <w:rPr>
          <w:rFonts w:ascii="Times New Roman" w:hAnsi="Times New Roman"/>
          <w:i/>
          <w:spacing w:val="11"/>
          <w:shd w:val="clear" w:color="auto" w:fill="FFFFFF"/>
        </w:rPr>
        <w:t>stolonifer</w:t>
      </w:r>
      <w:r>
        <w:rPr>
          <w:rFonts w:ascii="Times New Roman" w:hAnsi="Times New Roman"/>
          <w:spacing w:val="11"/>
          <w:shd w:val="clear" w:color="auto" w:fill="FFFFFF"/>
        </w:rPr>
        <w:t xml:space="preserve">, </w:t>
      </w:r>
      <w:r>
        <w:rPr>
          <w:rFonts w:ascii="Times New Roman" w:hAnsi="Times New Roman"/>
          <w:i/>
          <w:spacing w:val="11"/>
          <w:shd w:val="clear" w:color="auto" w:fill="FFFFFF"/>
        </w:rPr>
        <w:t>Aspergilus niger</w:t>
      </w:r>
      <w:r>
        <w:rPr>
          <w:rFonts w:ascii="Times New Roman" w:hAnsi="Times New Roman"/>
          <w:spacing w:val="11"/>
          <w:shd w:val="clear" w:color="auto" w:fill="FFFFFF"/>
        </w:rPr>
        <w:t xml:space="preserve">, </w:t>
      </w:r>
      <w:r>
        <w:rPr>
          <w:rFonts w:ascii="Times New Roman" w:hAnsi="Times New Roman"/>
          <w:i/>
          <w:spacing w:val="11"/>
          <w:shd w:val="clear" w:color="auto" w:fill="FFFFFF"/>
        </w:rPr>
        <w:t>Penicillum Spp</w:t>
      </w:r>
      <w:r>
        <w:rPr>
          <w:rFonts w:ascii="Times New Roman" w:hAnsi="Times New Roman"/>
          <w:spacing w:val="11"/>
          <w:shd w:val="clear" w:color="auto" w:fill="FFFFFF"/>
        </w:rPr>
        <w:t xml:space="preserve">, </w:t>
      </w:r>
      <w:r>
        <w:rPr>
          <w:rFonts w:ascii="Times New Roman" w:hAnsi="Times New Roman"/>
          <w:i/>
          <w:spacing w:val="11"/>
          <w:shd w:val="clear" w:color="auto" w:fill="FFFFFF"/>
        </w:rPr>
        <w:t>Candida tropicalis, Fusarium Spp</w:t>
      </w:r>
      <w:r>
        <w:rPr>
          <w:rFonts w:ascii="Times New Roman" w:hAnsi="Times New Roman"/>
          <w:spacing w:val="11"/>
          <w:shd w:val="clear" w:color="auto" w:fill="FFFFFF"/>
        </w:rPr>
        <w:t xml:space="preserve"> and </w:t>
      </w:r>
      <w:r>
        <w:rPr>
          <w:rFonts w:ascii="Times New Roman" w:hAnsi="Times New Roman"/>
          <w:i/>
          <w:spacing w:val="11"/>
          <w:shd w:val="clear" w:color="auto" w:fill="FFFFFF"/>
        </w:rPr>
        <w:t>Aspergilus flavus</w:t>
      </w:r>
      <w:r>
        <w:rPr>
          <w:rFonts w:ascii="Times New Roman" w:hAnsi="Times New Roman"/>
          <w:spacing w:val="11"/>
          <w:shd w:val="clear" w:color="auto" w:fill="FFFFFF"/>
        </w:rPr>
        <w:t xml:space="preserve">. This shows that consumption of unprocessed clam from this study area can result in </w:t>
      </w:r>
      <w:r>
        <w:rPr>
          <w:rFonts w:ascii="Times New Roman" w:hAnsi="Times New Roman"/>
          <w:bCs/>
          <w:color w:val="2E2E2E"/>
        </w:rPr>
        <w:t xml:space="preserve">mucormycosis, rot, food spoilage, candidiasis, opportunistic mycosis and production of aflatoxins which can be of serious health implication to human and his livestock. </w:t>
      </w:r>
      <w:r>
        <w:rPr>
          <w:rFonts w:ascii="Times New Roman" w:hAnsi="Times New Roman"/>
          <w:shd w:val="clear" w:color="auto" w:fill="FFFFFF"/>
        </w:rPr>
        <w:t xml:space="preserve">According to </w:t>
      </w:r>
      <w:r>
        <w:rPr>
          <w:rFonts w:ascii="Times New Roman" w:hAnsi="Times New Roman"/>
          <w:highlight w:val="yellow"/>
          <w:shd w:val="clear" w:color="auto" w:fill="FFFFFF"/>
        </w:rPr>
        <w:t xml:space="preserve">Zhai, </w:t>
      </w:r>
      <w:r>
        <w:rPr>
          <w:rFonts w:ascii="Times New Roman" w:hAnsi="Times New Roman"/>
          <w:i/>
          <w:highlight w:val="yellow"/>
          <w:shd w:val="clear" w:color="auto" w:fill="FFFFFF"/>
        </w:rPr>
        <w:t>et al</w:t>
      </w:r>
      <w:r>
        <w:rPr>
          <w:rFonts w:ascii="Times New Roman" w:hAnsi="Times New Roman"/>
          <w:highlight w:val="yellow"/>
          <w:shd w:val="clear" w:color="auto" w:fill="FFFFFF"/>
        </w:rPr>
        <w:t>.</w:t>
      </w:r>
      <w:r>
        <w:rPr>
          <w:rFonts w:ascii="Times New Roman" w:hAnsi="Times New Roman"/>
          <w:shd w:val="clear" w:color="auto" w:fill="FFFFFF"/>
        </w:rPr>
        <w:t xml:space="preserve"> </w:t>
      </w:r>
      <w:r>
        <w:rPr>
          <w:rFonts w:ascii="Times New Roman" w:hAnsi="Times New Roman"/>
          <w:shd w:val="clear" w:color="auto" w:fill="FFFFFF"/>
          <w:vertAlign w:val="superscript"/>
        </w:rPr>
        <w:t xml:space="preserve"> </w:t>
      </w:r>
      <w:r>
        <w:rPr>
          <w:rFonts w:ascii="Times New Roman" w:hAnsi="Times New Roman"/>
          <w:highlight w:val="yellow"/>
          <w:shd w:val="clear" w:color="auto" w:fill="FFFFFF"/>
          <w:vertAlign w:val="superscript"/>
        </w:rPr>
        <w:t>[30]</w:t>
      </w:r>
      <w:r>
        <w:rPr>
          <w:rFonts w:ascii="Times New Roman" w:hAnsi="Times New Roman"/>
          <w:shd w:val="clear" w:color="auto" w:fill="FFFFFF"/>
          <w:vertAlign w:val="superscript"/>
        </w:rPr>
        <w:t> </w:t>
      </w:r>
      <w:r>
        <w:rPr>
          <w:rFonts w:ascii="Times New Roman" w:hAnsi="Times New Roman"/>
          <w:i/>
          <w:iCs/>
          <w:shd w:val="clear" w:color="auto" w:fill="FFFFFF"/>
        </w:rPr>
        <w:t>C. tropicalis</w:t>
      </w:r>
      <w:r>
        <w:rPr>
          <w:rFonts w:ascii="Times New Roman" w:hAnsi="Times New Roman"/>
          <w:shd w:val="clear" w:color="auto" w:fill="FFFFFF"/>
        </w:rPr>
        <w:t xml:space="preserve"> can cause fatal digestive system disease and septicemia. </w:t>
      </w:r>
      <w:r>
        <w:rPr>
          <w:rFonts w:ascii="Times New Roman" w:hAnsi="Times New Roman"/>
          <w:i/>
          <w:lang w:val="en-GB"/>
        </w:rPr>
        <w:t>Aspergillus</w:t>
      </w:r>
      <w:r>
        <w:rPr>
          <w:rFonts w:ascii="Times New Roman" w:hAnsi="Times New Roman"/>
          <w:lang w:val="en-GB"/>
        </w:rPr>
        <w:t xml:space="preserve"> Spp has been associated with outbreaks of seafood diseases known as n</w:t>
      </w:r>
      <w:r>
        <w:rPr>
          <w:rFonts w:ascii="Times New Roman" w:hAnsi="Times New Roman"/>
          <w:color w:val="212121"/>
          <w:shd w:val="clear" w:color="auto" w:fill="FFFFFF"/>
        </w:rPr>
        <w:t>osocomial aspergillosis which is a serious threat for severely immune-compromised patients</w:t>
      </w:r>
      <w:r>
        <w:rPr>
          <w:rFonts w:ascii="Times New Roman" w:hAnsi="Times New Roman"/>
          <w:lang w:val="en-GB"/>
        </w:rPr>
        <w:t xml:space="preserve"> </w:t>
      </w:r>
      <w:r>
        <w:rPr>
          <w:rFonts w:ascii="Times New Roman" w:hAnsi="Times New Roman"/>
          <w:highlight w:val="yellow"/>
          <w:vertAlign w:val="superscript"/>
          <w:lang w:val="en-GB"/>
        </w:rPr>
        <w:t>[31]</w:t>
      </w:r>
      <w:r>
        <w:rPr>
          <w:rFonts w:ascii="Times New Roman" w:hAnsi="Times New Roman"/>
          <w:color w:val="212121"/>
          <w:highlight w:val="yellow"/>
          <w:shd w:val="clear" w:color="auto" w:fill="FFFFFF"/>
        </w:rPr>
        <w:t>.</w:t>
      </w:r>
      <w:r>
        <w:rPr>
          <w:rFonts w:ascii="Times New Roman" w:hAnsi="Times New Roman"/>
          <w:color w:val="212121"/>
          <w:shd w:val="clear" w:color="auto" w:fill="FFFFFF"/>
        </w:rPr>
        <w:t xml:space="preserve"> </w:t>
      </w:r>
      <w:r>
        <w:rPr>
          <w:rFonts w:ascii="Times New Roman" w:hAnsi="Times New Roman"/>
          <w:lang w:val="en-GB"/>
        </w:rPr>
        <w:t xml:space="preserve">The level of mean THBC reported in this study was higher than the range reported by Udoh </w:t>
      </w:r>
      <w:r>
        <w:rPr>
          <w:rFonts w:ascii="Times New Roman" w:hAnsi="Times New Roman"/>
          <w:i/>
          <w:iCs/>
          <w:lang w:val="en-GB"/>
        </w:rPr>
        <w:t>et al</w:t>
      </w:r>
      <w:r>
        <w:rPr>
          <w:rFonts w:ascii="Times New Roman" w:hAnsi="Times New Roman"/>
          <w:lang w:val="en-GB"/>
        </w:rPr>
        <w:t xml:space="preserve">. </w:t>
      </w:r>
      <w:r>
        <w:rPr>
          <w:rFonts w:ascii="Times New Roman" w:hAnsi="Times New Roman"/>
          <w:highlight w:val="yellow"/>
          <w:vertAlign w:val="superscript"/>
          <w:lang w:val="en-GB"/>
        </w:rPr>
        <w:t>[32]</w:t>
      </w:r>
      <w:r>
        <w:rPr>
          <w:rFonts w:ascii="Times New Roman" w:hAnsi="Times New Roman"/>
          <w:lang w:val="en-GB"/>
        </w:rPr>
        <w:t xml:space="preserve"> for </w:t>
      </w:r>
      <w:r>
        <w:rPr>
          <w:rFonts w:ascii="Times New Roman" w:hAnsi="Times New Roman"/>
          <w:i/>
          <w:iCs/>
          <w:lang w:val="en-GB"/>
        </w:rPr>
        <w:t>G. paradoxa</w:t>
      </w:r>
      <w:r>
        <w:rPr>
          <w:rFonts w:ascii="Times New Roman" w:hAnsi="Times New Roman"/>
          <w:lang w:val="en-GB"/>
        </w:rPr>
        <w:t xml:space="preserve"> in Cross River Estuary and Volta Lake while TCC fell within the range </w:t>
      </w:r>
      <w:r>
        <w:rPr>
          <w:rFonts w:ascii="Times New Roman" w:hAnsi="Times New Roman"/>
          <w:highlight w:val="yellow"/>
          <w:vertAlign w:val="superscript"/>
          <w:lang w:val="en-GB"/>
        </w:rPr>
        <w:t>[32]</w:t>
      </w:r>
      <w:r>
        <w:rPr>
          <w:rFonts w:ascii="Times New Roman" w:hAnsi="Times New Roman"/>
          <w:highlight w:val="yellow"/>
          <w:lang w:val="en-GB"/>
        </w:rPr>
        <w:t>.</w:t>
      </w:r>
      <w:r>
        <w:rPr>
          <w:rFonts w:ascii="Times New Roman" w:hAnsi="Times New Roman"/>
          <w:lang w:val="en-GB"/>
        </w:rPr>
        <w:t xml:space="preserve"> Total heterotrophic bacteria and coliform may be directly influenced by many anthropogenic activities and rainfall. Run-off from rain might carry raw sewage from the surrounding villages and leachate from waste sites in the catchment area into the freshwater; the clams being filter feeders are able to accumulate the isolates in their tissues to level twice that in the surrounding waters </w:t>
      </w:r>
      <w:r>
        <w:rPr>
          <w:rFonts w:ascii="Times New Roman" w:hAnsi="Times New Roman"/>
          <w:highlight w:val="yellow"/>
          <w:vertAlign w:val="superscript"/>
          <w:lang w:val="en-GB"/>
        </w:rPr>
        <w:t>[33]</w:t>
      </w:r>
      <w:r>
        <w:rPr>
          <w:rFonts w:ascii="Times New Roman" w:hAnsi="Times New Roman"/>
          <w:highlight w:val="yellow"/>
          <w:lang w:val="en-GB"/>
        </w:rPr>
        <w:t>.</w:t>
      </w:r>
      <w:r>
        <w:rPr>
          <w:rFonts w:ascii="Times New Roman" w:hAnsi="Times New Roman"/>
          <w:lang w:val="en-GB"/>
        </w:rPr>
        <w:t xml:space="preserve"> This is in agreement with Antai </w:t>
      </w:r>
      <w:r>
        <w:rPr>
          <w:rFonts w:ascii="Times New Roman" w:hAnsi="Times New Roman"/>
          <w:highlight w:val="yellow"/>
          <w:vertAlign w:val="superscript"/>
          <w:lang w:val="en-GB"/>
        </w:rPr>
        <w:t>[34]</w:t>
      </w:r>
      <w:r>
        <w:rPr>
          <w:rFonts w:ascii="Times New Roman" w:hAnsi="Times New Roman"/>
          <w:lang w:val="en-GB"/>
        </w:rPr>
        <w:t xml:space="preserve"> who reported that the high microbial load in the sample is a clear indication that clam serves as a medium through which microbes multiplied rapidly. Udoh, </w:t>
      </w:r>
      <w:r>
        <w:rPr>
          <w:rFonts w:ascii="Times New Roman" w:hAnsi="Times New Roman"/>
          <w:i/>
          <w:iCs/>
          <w:lang w:val="en-GB"/>
        </w:rPr>
        <w:t>et al</w:t>
      </w:r>
      <w:r>
        <w:rPr>
          <w:rFonts w:ascii="Times New Roman" w:hAnsi="Times New Roman"/>
          <w:lang w:val="en-GB"/>
        </w:rPr>
        <w:t xml:space="preserve">. </w:t>
      </w:r>
      <w:r>
        <w:rPr>
          <w:rFonts w:ascii="Times New Roman" w:hAnsi="Times New Roman"/>
          <w:highlight w:val="yellow"/>
          <w:vertAlign w:val="superscript"/>
          <w:lang w:val="en-GB"/>
        </w:rPr>
        <w:t>[32]</w:t>
      </w:r>
      <w:r>
        <w:rPr>
          <w:rFonts w:ascii="Times New Roman" w:hAnsi="Times New Roman"/>
          <w:lang w:val="en-GB"/>
        </w:rPr>
        <w:t xml:space="preserve"> added that these species of microbes are demonstrating strong resistance to novel.</w:t>
      </w:r>
      <w:r>
        <w:rPr>
          <w:rFonts w:ascii="Times New Roman" w:hAnsi="Times New Roman"/>
          <w:spacing w:val="11"/>
          <w:shd w:val="clear" w:color="auto" w:fill="FFFFFF"/>
        </w:rPr>
        <w:t xml:space="preserve"> </w:t>
      </w:r>
      <w:r>
        <w:rPr>
          <w:rFonts w:ascii="Times New Roman" w:hAnsi="Times New Roman"/>
          <w:lang w:val="en-GB"/>
        </w:rPr>
        <w:t xml:space="preserve">Generally, microbial load was higher in the gut than other parts confirming the fact that clam should be degutted before processing for consumption. </w:t>
      </w:r>
      <w:r>
        <w:rPr>
          <w:rFonts w:ascii="Times New Roman" w:hAnsi="Times New Roman"/>
          <w:i/>
          <w:lang w:val="en-GB"/>
        </w:rPr>
        <w:t xml:space="preserve">Tagelus adansonii </w:t>
      </w:r>
      <w:r>
        <w:rPr>
          <w:rFonts w:ascii="Times New Roman" w:hAnsi="Times New Roman"/>
          <w:iCs/>
          <w:lang w:val="en-GB"/>
        </w:rPr>
        <w:t>are</w:t>
      </w:r>
      <w:r>
        <w:rPr>
          <w:rFonts w:ascii="Times New Roman" w:hAnsi="Times New Roman"/>
          <w:lang w:val="en-GB"/>
        </w:rPr>
        <w:t xml:space="preserve"> protein rich food and therefore serves as a suitable substrate in supporting growth of different types of bacteria and fungi; the microbial growth in these fresh seafood will encourage food spoilage and seafood poisoning. On the other hand estuaries or rivers are constantly polluted with faecal matter from riverine dwellers.</w:t>
      </w:r>
      <w:r>
        <w:rPr>
          <w:rFonts w:ascii="Times New Roman" w:hAnsi="Times New Roman"/>
          <w:color w:val="212121"/>
          <w:shd w:val="clear" w:color="auto" w:fill="FFFFFF"/>
        </w:rPr>
        <w:t xml:space="preserve"> This findings </w:t>
      </w:r>
      <w:r>
        <w:rPr>
          <w:rFonts w:ascii="Times New Roman" w:hAnsi="Times New Roman"/>
          <w:lang w:val="en-GB"/>
        </w:rPr>
        <w:t xml:space="preserve">agrees with the work of </w:t>
      </w:r>
      <w:r>
        <w:rPr>
          <w:rFonts w:ascii="Times New Roman" w:hAnsi="Times New Roman"/>
          <w:highlight w:val="yellow"/>
          <w:vertAlign w:val="superscript"/>
          <w:lang w:val="en-GB"/>
        </w:rPr>
        <w:t>[35]</w:t>
      </w:r>
      <w:r>
        <w:rPr>
          <w:rFonts w:ascii="Times New Roman" w:hAnsi="Times New Roman"/>
          <w:vertAlign w:val="superscript"/>
          <w:lang w:val="en-GB"/>
        </w:rPr>
        <w:t xml:space="preserve"> </w:t>
      </w:r>
      <w:r>
        <w:rPr>
          <w:rFonts w:ascii="Times New Roman" w:hAnsi="Times New Roman"/>
          <w:lang w:val="en-GB"/>
        </w:rPr>
        <w:t xml:space="preserve">that </w:t>
      </w:r>
      <w:r>
        <w:rPr>
          <w:rFonts w:ascii="Times New Roman" w:hAnsi="Times New Roman"/>
          <w:shd w:val="clear" w:color="auto" w:fill="FFFFFF"/>
        </w:rPr>
        <w:t>shellfish and coastal waters contaminated by human pathogens could be sources of</w:t>
      </w:r>
      <w:r>
        <w:rPr>
          <w:rStyle w:val="12"/>
          <w:rFonts w:ascii="Times New Roman" w:hAnsi="Times New Roman"/>
          <w:shd w:val="clear" w:color="auto" w:fill="FFFFFF"/>
        </w:rPr>
        <w:t> </w:t>
      </w:r>
      <w:r>
        <w:rPr>
          <w:rStyle w:val="12"/>
          <w:rFonts w:ascii="Times New Roman" w:hAnsi="Times New Roman"/>
          <w:b w:val="0"/>
          <w:shd w:val="clear" w:color="auto" w:fill="FFFFFF"/>
        </w:rPr>
        <w:t>shellfish-borne or water-borne outbreaks</w:t>
      </w:r>
      <w:r>
        <w:rPr>
          <w:rFonts w:ascii="Times New Roman" w:hAnsi="Times New Roman"/>
          <w:shd w:val="clear" w:color="auto" w:fill="FFFFFF"/>
        </w:rPr>
        <w:t>. In fact, shellfish can accumulate and concentrate microbial pathogens present in waters by their filter-feeding activities.</w:t>
      </w:r>
      <w:r>
        <w:rPr>
          <w:rFonts w:ascii="Times New Roman" w:hAnsi="Times New Roman"/>
          <w:lang w:val="en-GB"/>
        </w:rPr>
        <w:t xml:space="preserve">  </w:t>
      </w:r>
      <w:r>
        <w:rPr>
          <w:rFonts w:ascii="Times New Roman" w:hAnsi="Times New Roman"/>
        </w:rPr>
        <w:t xml:space="preserve">The risk of disease from these agents varies by pathogen, dose, host and characteristics of the seafood matrix. The extent to which a microbial hazard is likely to be present in seafood and give rise to a public health and safety risk depends on numerous factors, including the biology of the particular seafood species, its growth environment and the specific activities along its production and processing supply chain </w:t>
      </w:r>
      <w:r>
        <w:rPr>
          <w:rFonts w:ascii="Times New Roman" w:hAnsi="Times New Roman"/>
          <w:highlight w:val="yellow"/>
          <w:vertAlign w:val="superscript"/>
        </w:rPr>
        <w:t>[36]</w:t>
      </w:r>
      <w:r>
        <w:rPr>
          <w:rFonts w:ascii="Times New Roman" w:hAnsi="Times New Roman"/>
          <w:highlight w:val="yellow"/>
        </w:rPr>
        <w:t>.</w:t>
      </w:r>
      <w:r>
        <w:rPr>
          <w:rFonts w:ascii="Times New Roman" w:hAnsi="Times New Roman"/>
        </w:rPr>
        <w:t xml:space="preserve"> </w:t>
      </w:r>
      <w:r>
        <w:rPr>
          <w:rFonts w:ascii="Times New Roman" w:hAnsi="Times New Roman"/>
          <w:lang w:val="en-GB"/>
        </w:rPr>
        <w:t xml:space="preserve"> This gives relevant information regarding the food safety and sanitary conditions of </w:t>
      </w:r>
      <w:r>
        <w:rPr>
          <w:rFonts w:ascii="Times New Roman" w:hAnsi="Times New Roman"/>
          <w:i/>
          <w:lang w:val="en-GB"/>
        </w:rPr>
        <w:t>T. adansonii</w:t>
      </w:r>
      <w:r>
        <w:rPr>
          <w:rFonts w:ascii="Times New Roman" w:hAnsi="Times New Roman"/>
          <w:lang w:val="en-GB"/>
        </w:rPr>
        <w:t xml:space="preserve"> and the coastal water </w:t>
      </w:r>
      <w:r>
        <w:rPr>
          <w:rFonts w:ascii="Times New Roman" w:hAnsi="Times New Roman"/>
          <w:highlight w:val="yellow"/>
          <w:vertAlign w:val="superscript"/>
          <w:lang w:val="en-GB"/>
        </w:rPr>
        <w:t>[37]</w:t>
      </w:r>
      <w:r>
        <w:rPr>
          <w:rFonts w:ascii="Times New Roman" w:hAnsi="Times New Roman"/>
          <w:highlight w:val="yellow"/>
          <w:lang w:val="en-GB"/>
        </w:rPr>
        <w:t>.</w:t>
      </w:r>
      <w:r>
        <w:rPr>
          <w:rFonts w:ascii="Times New Roman" w:hAnsi="Times New Roman"/>
          <w:lang w:val="en-GB"/>
        </w:rPr>
        <w:t xml:space="preserve"> </w:t>
      </w:r>
      <w:r>
        <w:rPr>
          <w:rFonts w:ascii="Times New Roman" w:hAnsi="Times New Roman"/>
        </w:rPr>
        <w:t xml:space="preserve">The results obtained from this study also showed that </w:t>
      </w:r>
      <w:r>
        <w:rPr>
          <w:rFonts w:ascii="Times New Roman" w:hAnsi="Times New Roman"/>
          <w:i/>
        </w:rPr>
        <w:t>T.</w:t>
      </w:r>
      <w:r>
        <w:rPr>
          <w:rFonts w:ascii="Times New Roman" w:hAnsi="Times New Roman"/>
        </w:rPr>
        <w:t xml:space="preserve"> </w:t>
      </w:r>
      <w:r>
        <w:rPr>
          <w:rFonts w:ascii="Times New Roman" w:hAnsi="Times New Roman"/>
          <w:i/>
        </w:rPr>
        <w:t>adansonii</w:t>
      </w:r>
      <w:r>
        <w:rPr>
          <w:rFonts w:ascii="Times New Roman" w:hAnsi="Times New Roman"/>
        </w:rPr>
        <w:t xml:space="preserve"> appears in the river between the months of February – January.  </w:t>
      </w:r>
    </w:p>
    <w:p>
      <w:pPr>
        <w:pStyle w:val="20"/>
        <w:spacing w:line="480" w:lineRule="auto"/>
        <w:ind w:left="0" w:firstLine="0"/>
        <w:rPr>
          <w:rFonts w:ascii="Times New Roman" w:hAnsi="Times New Roman"/>
          <w:lang w:val="en-GB"/>
        </w:rPr>
      </w:pPr>
      <w:r>
        <w:rPr>
          <w:rFonts w:ascii="Times New Roman" w:hAnsi="Times New Roman"/>
        </w:rPr>
        <w:t>The moisture content of 40.75±1.85 obtained from the mollusk was lower than the range of 66.17 – 99.20% reported on snails,</w:t>
      </w:r>
      <w:r>
        <w:rPr>
          <w:rFonts w:ascii="Times New Roman" w:hAnsi="Times New Roman"/>
          <w:i/>
        </w:rPr>
        <w:t xml:space="preserve"> Pila</w:t>
      </w:r>
      <w:r>
        <w:rPr>
          <w:rFonts w:ascii="Times New Roman" w:hAnsi="Times New Roman"/>
        </w:rPr>
        <w:t xml:space="preserve"> </w:t>
      </w:r>
      <w:r>
        <w:rPr>
          <w:rFonts w:ascii="Times New Roman" w:hAnsi="Times New Roman"/>
          <w:i/>
        </w:rPr>
        <w:t>globosa</w:t>
      </w:r>
      <w:r>
        <w:rPr>
          <w:rFonts w:ascii="Times New Roman" w:hAnsi="Times New Roman"/>
        </w:rPr>
        <w:t xml:space="preserve"> and Whelk found in Europe, Asia and Africa </w:t>
      </w:r>
      <w:r>
        <w:rPr>
          <w:rFonts w:ascii="Times New Roman" w:hAnsi="Times New Roman"/>
          <w:highlight w:val="yellow"/>
          <w:vertAlign w:val="superscript"/>
        </w:rPr>
        <w:t>[38]</w:t>
      </w:r>
      <w:r>
        <w:rPr>
          <w:rFonts w:ascii="Times New Roman" w:hAnsi="Times New Roman"/>
          <w:highlight w:val="yellow"/>
        </w:rPr>
        <w:t>.</w:t>
      </w:r>
      <w:r>
        <w:rPr>
          <w:rFonts w:ascii="Times New Roman" w:hAnsi="Times New Roman"/>
        </w:rPr>
        <w:t xml:space="preserve"> Comparison with other molluscs of economic importance shows that the moisture content was lower than that of oyster, clam, rough and smooth periwinkle and whelk which recorded 73.37, 73.72, 84.80, 80.22 and 60.97 percent respectively </w:t>
      </w:r>
      <w:r>
        <w:rPr>
          <w:rFonts w:ascii="Times New Roman" w:hAnsi="Times New Roman"/>
          <w:highlight w:val="yellow"/>
          <w:vertAlign w:val="superscript"/>
        </w:rPr>
        <w:t>[1]</w:t>
      </w:r>
      <w:r>
        <w:rPr>
          <w:rFonts w:ascii="Times New Roman" w:hAnsi="Times New Roman"/>
          <w:highlight w:val="yellow"/>
        </w:rPr>
        <w:t>.</w:t>
      </w:r>
      <w:r>
        <w:rPr>
          <w:rFonts w:ascii="Times New Roman" w:hAnsi="Times New Roman"/>
        </w:rPr>
        <w:t xml:space="preserve"> Moisture content of 79.60% – 81.20% had earlier been reported for periwinkle </w:t>
      </w:r>
      <w:r>
        <w:rPr>
          <w:rFonts w:ascii="Times New Roman" w:hAnsi="Times New Roman"/>
          <w:vertAlign w:val="superscript"/>
        </w:rPr>
        <w:t>[38]</w:t>
      </w:r>
      <w:r>
        <w:rPr>
          <w:rFonts w:ascii="Times New Roman" w:hAnsi="Times New Roman"/>
        </w:rPr>
        <w:t xml:space="preserve">. These variations could be due to the effect of environment as reported by Osibona </w:t>
      </w:r>
      <w:r>
        <w:rPr>
          <w:rFonts w:ascii="Times New Roman" w:hAnsi="Times New Roman"/>
          <w:i/>
        </w:rPr>
        <w:t>et al</w:t>
      </w:r>
      <w:r>
        <w:rPr>
          <w:rFonts w:ascii="Times New Roman" w:hAnsi="Times New Roman"/>
        </w:rPr>
        <w:t xml:space="preserve">. </w:t>
      </w:r>
      <w:r>
        <w:rPr>
          <w:rFonts w:ascii="Times New Roman" w:hAnsi="Times New Roman"/>
          <w:highlight w:val="yellow"/>
          <w:vertAlign w:val="superscript"/>
        </w:rPr>
        <w:t>[39]</w:t>
      </w:r>
      <w:r>
        <w:rPr>
          <w:rFonts w:ascii="Times New Roman" w:hAnsi="Times New Roman"/>
          <w:highlight w:val="yellow"/>
        </w:rPr>
        <w:t>.</w:t>
      </w:r>
      <w:r>
        <w:rPr>
          <w:rFonts w:ascii="Times New Roman" w:hAnsi="Times New Roman"/>
        </w:rPr>
        <w:t xml:space="preserve"> The ash content of 5.99±0.42 is similar to 5.84% observed by Obande </w:t>
      </w:r>
      <w:r>
        <w:rPr>
          <w:rFonts w:ascii="Times New Roman" w:hAnsi="Times New Roman"/>
          <w:i/>
        </w:rPr>
        <w:t>et al</w:t>
      </w:r>
      <w:r>
        <w:rPr>
          <w:rFonts w:ascii="Times New Roman" w:hAnsi="Times New Roman"/>
        </w:rPr>
        <w:t xml:space="preserve">. </w:t>
      </w:r>
      <w:r>
        <w:rPr>
          <w:rFonts w:ascii="Times New Roman" w:hAnsi="Times New Roman"/>
          <w:highlight w:val="yellow"/>
          <w:vertAlign w:val="superscript"/>
        </w:rPr>
        <w:t>[40]</w:t>
      </w:r>
      <w:r>
        <w:rPr>
          <w:rFonts w:ascii="Times New Roman" w:hAnsi="Times New Roman"/>
        </w:rPr>
        <w:t xml:space="preserve"> for fresh water snail (</w:t>
      </w:r>
      <w:r>
        <w:rPr>
          <w:rFonts w:ascii="Times New Roman" w:hAnsi="Times New Roman"/>
          <w:i/>
        </w:rPr>
        <w:t>Pila ampullacea</w:t>
      </w:r>
      <w:r>
        <w:rPr>
          <w:rFonts w:ascii="Times New Roman" w:hAnsi="Times New Roman"/>
        </w:rPr>
        <w:t xml:space="preserve">) from River Benue, Nigeria and smaller compared to 6.85% for rough periwinkle to 14.02% for whelk </w:t>
      </w:r>
      <w:r>
        <w:rPr>
          <w:rFonts w:ascii="Times New Roman" w:hAnsi="Times New Roman"/>
          <w:highlight w:val="yellow"/>
          <w:vertAlign w:val="superscript"/>
        </w:rPr>
        <w:t>[1]</w:t>
      </w:r>
      <w:r>
        <w:rPr>
          <w:rFonts w:ascii="Times New Roman" w:hAnsi="Times New Roman"/>
          <w:highlight w:val="yellow"/>
        </w:rPr>
        <w:t>.</w:t>
      </w:r>
      <w:r>
        <w:rPr>
          <w:rFonts w:ascii="Times New Roman" w:hAnsi="Times New Roman"/>
        </w:rPr>
        <w:t xml:space="preserve"> This value can be attributed to the fact that aquatic mollusk absorbs more minerals from the water as rivers serve as effluent to some industries whose chemical waste discharge into the water body may increase the absolute minerals in the water. The crude fibre content of 4.13±0.10% was higher than the range observed by Eneji </w:t>
      </w:r>
      <w:r>
        <w:rPr>
          <w:rFonts w:ascii="Times New Roman" w:hAnsi="Times New Roman"/>
          <w:i/>
        </w:rPr>
        <w:t>et al</w:t>
      </w:r>
      <w:r>
        <w:rPr>
          <w:rFonts w:ascii="Times New Roman" w:hAnsi="Times New Roman"/>
        </w:rPr>
        <w:t xml:space="preserve">. </w:t>
      </w:r>
      <w:r>
        <w:rPr>
          <w:rFonts w:ascii="Times New Roman" w:hAnsi="Times New Roman"/>
          <w:highlight w:val="yellow"/>
          <w:vertAlign w:val="superscript"/>
        </w:rPr>
        <w:t>[41]</w:t>
      </w:r>
      <w:r>
        <w:rPr>
          <w:rFonts w:ascii="Times New Roman" w:hAnsi="Times New Roman"/>
        </w:rPr>
        <w:t xml:space="preserve"> of 0.50-1.50% for land and water snails. It is also high as compared to other shellfishes </w:t>
      </w:r>
      <w:r>
        <w:rPr>
          <w:rFonts w:ascii="Times New Roman" w:hAnsi="Times New Roman"/>
          <w:highlight w:val="yellow"/>
          <w:vertAlign w:val="superscript"/>
        </w:rPr>
        <w:t>[42]</w:t>
      </w:r>
      <w:r>
        <w:rPr>
          <w:rFonts w:ascii="Times New Roman" w:hAnsi="Times New Roman"/>
          <w:highlight w:val="yellow"/>
        </w:rPr>
        <w:t>.</w:t>
      </w:r>
      <w:r>
        <w:rPr>
          <w:rFonts w:ascii="Times New Roman" w:hAnsi="Times New Roman"/>
        </w:rPr>
        <w:t xml:space="preserve"> The protein content of 60.92±2.38 of </w:t>
      </w:r>
      <w:r>
        <w:rPr>
          <w:rFonts w:ascii="Times New Roman" w:hAnsi="Times New Roman"/>
          <w:i/>
        </w:rPr>
        <w:t>T. adansonii</w:t>
      </w:r>
      <w:r>
        <w:rPr>
          <w:rFonts w:ascii="Times New Roman" w:hAnsi="Times New Roman"/>
        </w:rPr>
        <w:t xml:space="preserve"> is higher than that of </w:t>
      </w:r>
      <w:r>
        <w:rPr>
          <w:rFonts w:ascii="Times New Roman" w:hAnsi="Times New Roman"/>
          <w:i/>
        </w:rPr>
        <w:t>Pila ampullacea</w:t>
      </w:r>
      <w:r>
        <w:rPr>
          <w:rFonts w:ascii="Times New Roman" w:hAnsi="Times New Roman"/>
        </w:rPr>
        <w:t xml:space="preserve"> (10.40%), fresh water fishes and the giant land snail </w:t>
      </w:r>
      <w:r>
        <w:rPr>
          <w:rFonts w:ascii="Times New Roman" w:hAnsi="Times New Roman"/>
          <w:i/>
        </w:rPr>
        <w:t xml:space="preserve">Archchatina maginata </w:t>
      </w:r>
      <w:r>
        <w:rPr>
          <w:rFonts w:ascii="Times New Roman" w:hAnsi="Times New Roman"/>
          <w:vertAlign w:val="superscript"/>
        </w:rPr>
        <w:t>[40]</w:t>
      </w:r>
      <w:r>
        <w:rPr>
          <w:rFonts w:ascii="Times New Roman" w:hAnsi="Times New Roman"/>
        </w:rPr>
        <w:t xml:space="preserve">. It is also far higher than 9.97% to 13.96% recorded for other aquatic molluscs </w:t>
      </w:r>
      <w:r>
        <w:rPr>
          <w:rFonts w:ascii="Times New Roman" w:hAnsi="Times New Roman"/>
          <w:highlight w:val="yellow"/>
          <w:vertAlign w:val="superscript"/>
        </w:rPr>
        <w:t>[1]</w:t>
      </w:r>
      <w:r>
        <w:rPr>
          <w:rFonts w:ascii="Times New Roman" w:hAnsi="Times New Roman"/>
          <w:highlight w:val="yellow"/>
        </w:rPr>
        <w:t>.</w:t>
      </w:r>
      <w:r>
        <w:rPr>
          <w:rFonts w:ascii="Times New Roman" w:hAnsi="Times New Roman"/>
        </w:rPr>
        <w:t xml:space="preserve"> On the other hand, the value is similar to that (61.9±4.3%) reported by </w:t>
      </w:r>
      <w:r>
        <w:rPr>
          <w:rFonts w:ascii="Times New Roman" w:hAnsi="Times New Roman" w:eastAsia="Times New Roman"/>
          <w:lang w:val="en-GB" w:eastAsia="en-GB"/>
        </w:rPr>
        <w:t>Rodríguez</w:t>
      </w:r>
      <w:r>
        <w:rPr>
          <w:rFonts w:ascii="Times New Roman" w:hAnsi="Times New Roman"/>
        </w:rPr>
        <w:t xml:space="preserve"> </w:t>
      </w:r>
      <w:r>
        <w:rPr>
          <w:rFonts w:ascii="Times New Roman" w:hAnsi="Times New Roman"/>
          <w:i/>
          <w:iCs/>
        </w:rPr>
        <w:t>et al</w:t>
      </w:r>
      <w:r>
        <w:rPr>
          <w:rFonts w:ascii="Times New Roman" w:hAnsi="Times New Roman"/>
          <w:highlight w:val="yellow"/>
        </w:rPr>
        <w:t xml:space="preserve">. </w:t>
      </w:r>
      <w:r>
        <w:rPr>
          <w:rFonts w:ascii="Times New Roman" w:hAnsi="Times New Roman"/>
          <w:highlight w:val="yellow"/>
          <w:vertAlign w:val="superscript"/>
        </w:rPr>
        <w:t>[43]</w:t>
      </w:r>
      <w:r>
        <w:t xml:space="preserve"> </w:t>
      </w:r>
      <w:r>
        <w:rPr>
          <w:rFonts w:ascii="Times New Roman" w:hAnsi="Times New Roman"/>
        </w:rPr>
        <w:t xml:space="preserve">for mussels </w:t>
      </w:r>
      <w:r>
        <w:rPr>
          <w:rFonts w:ascii="Times New Roman" w:hAnsi="Times New Roman"/>
          <w:i/>
          <w:iCs/>
        </w:rPr>
        <w:t>T. peruvianus</w:t>
      </w:r>
      <w:r>
        <w:rPr>
          <w:rFonts w:ascii="Times New Roman" w:hAnsi="Times New Roman"/>
        </w:rPr>
        <w:t xml:space="preserve"> from the Gulf of Nicoya, Puntarenas, Costa Rica. However, it is still comparable to values obtained in other livestock </w:t>
      </w:r>
      <w:r>
        <w:rPr>
          <w:rFonts w:ascii="Times New Roman" w:hAnsi="Times New Roman"/>
          <w:highlight w:val="yellow"/>
          <w:vertAlign w:val="superscript"/>
        </w:rPr>
        <w:t>[44</w:t>
      </w:r>
      <w:r>
        <w:rPr>
          <w:rFonts w:ascii="Times New Roman" w:hAnsi="Times New Roman"/>
          <w:vertAlign w:val="superscript"/>
        </w:rPr>
        <w:t>]</w:t>
      </w:r>
      <w:r>
        <w:rPr>
          <w:rFonts w:ascii="Times New Roman" w:hAnsi="Times New Roman"/>
        </w:rPr>
        <w:t xml:space="preserve">. Bender </w:t>
      </w:r>
      <w:r>
        <w:rPr>
          <w:rFonts w:ascii="Times New Roman" w:hAnsi="Times New Roman"/>
          <w:highlight w:val="yellow"/>
          <w:vertAlign w:val="superscript"/>
        </w:rPr>
        <w:t>[45]</w:t>
      </w:r>
      <w:r>
        <w:rPr>
          <w:rFonts w:ascii="Times New Roman" w:hAnsi="Times New Roman"/>
        </w:rPr>
        <w:t xml:space="preserve"> has responded that the amino acids in the protein of aquatic molluscs could be used to compliment the cereal sources of protein making good their relative deficiency of lysine. The result had shown that molluscs constitute a rich source of protein which according to Egonmwan </w:t>
      </w:r>
      <w:r>
        <w:rPr>
          <w:rFonts w:ascii="Times New Roman" w:hAnsi="Times New Roman"/>
          <w:highlight w:val="yellow"/>
          <w:vertAlign w:val="superscript"/>
        </w:rPr>
        <w:t>[46]</w:t>
      </w:r>
      <w:r>
        <w:rPr>
          <w:rFonts w:ascii="Times New Roman" w:hAnsi="Times New Roman"/>
          <w:highlight w:val="yellow"/>
        </w:rPr>
        <w:t>,</w:t>
      </w:r>
      <w:r>
        <w:rPr>
          <w:rFonts w:ascii="Times New Roman" w:hAnsi="Times New Roman"/>
        </w:rPr>
        <w:t xml:space="preserve"> are of high biological value. Protein is the major structural component of cells and is responsible for the building and repair of body tissues.</w:t>
      </w:r>
      <w:r>
        <w:rPr>
          <w:rFonts w:ascii="Times New Roman" w:hAnsi="Times New Roman"/>
          <w:b/>
        </w:rPr>
        <w:t xml:space="preserve"> </w:t>
      </w:r>
      <w:r>
        <w:rPr>
          <w:rFonts w:ascii="Times New Roman" w:hAnsi="Times New Roman"/>
        </w:rPr>
        <w:t xml:space="preserve">Thus, with increased consumption, the serious problem of protein deficiency can be mitigated. The Ether extract of 5.56±0.51% is higher than 0.09% in </w:t>
      </w:r>
      <w:r>
        <w:rPr>
          <w:rFonts w:ascii="Times New Roman" w:hAnsi="Times New Roman"/>
          <w:i/>
        </w:rPr>
        <w:t>P. ampullacea</w:t>
      </w:r>
      <w:r>
        <w:rPr>
          <w:rFonts w:ascii="Times New Roman" w:hAnsi="Times New Roman"/>
        </w:rPr>
        <w:t xml:space="preserve"> </w:t>
      </w:r>
      <w:r>
        <w:rPr>
          <w:rFonts w:ascii="Times New Roman" w:hAnsi="Times New Roman"/>
          <w:highlight w:val="yellow"/>
          <w:vertAlign w:val="superscript"/>
        </w:rPr>
        <w:t>[40]</w:t>
      </w:r>
      <w:r>
        <w:rPr>
          <w:rFonts w:ascii="Times New Roman" w:hAnsi="Times New Roman"/>
        </w:rPr>
        <w:t xml:space="preserve"> and other species of aquatic molluscs </w:t>
      </w:r>
      <w:r>
        <w:rPr>
          <w:rFonts w:ascii="Times New Roman" w:hAnsi="Times New Roman"/>
          <w:highlight w:val="yellow"/>
          <w:vertAlign w:val="superscript"/>
        </w:rPr>
        <w:t>[1]</w:t>
      </w:r>
      <w:r>
        <w:rPr>
          <w:rFonts w:ascii="Times New Roman" w:hAnsi="Times New Roman"/>
          <w:highlight w:val="yellow"/>
        </w:rPr>
        <w:t>.</w:t>
      </w:r>
      <w:r>
        <w:rPr>
          <w:rFonts w:ascii="Times New Roman" w:hAnsi="Times New Roman"/>
        </w:rPr>
        <w:t xml:space="preserve"> It is high as compared to other species of animals except mullet and octopus </w:t>
      </w:r>
      <w:r>
        <w:rPr>
          <w:rFonts w:ascii="Times New Roman" w:hAnsi="Times New Roman"/>
          <w:vertAlign w:val="superscript"/>
        </w:rPr>
        <w:t>[41]</w:t>
      </w:r>
      <w:r>
        <w:rPr>
          <w:rFonts w:ascii="Times New Roman" w:hAnsi="Times New Roman"/>
        </w:rPr>
        <w:t xml:space="preserve">. This could be related to location and origin of the mollusc </w:t>
      </w:r>
      <w:r>
        <w:rPr>
          <w:rFonts w:ascii="Times New Roman" w:hAnsi="Times New Roman"/>
          <w:highlight w:val="yellow"/>
          <w:vertAlign w:val="superscript"/>
        </w:rPr>
        <w:t>[47]</w:t>
      </w:r>
      <w:r>
        <w:rPr>
          <w:rFonts w:ascii="Times New Roman" w:hAnsi="Times New Roman"/>
          <w:highlight w:val="yellow"/>
        </w:rPr>
        <w:t>.</w:t>
      </w:r>
      <w:r>
        <w:rPr>
          <w:rFonts w:ascii="Times New Roman" w:hAnsi="Times New Roman"/>
        </w:rPr>
        <w:t xml:space="preserve"> Judith and Jenny </w:t>
      </w:r>
      <w:r>
        <w:rPr>
          <w:rFonts w:ascii="Times New Roman" w:hAnsi="Times New Roman"/>
          <w:highlight w:val="yellow"/>
          <w:vertAlign w:val="superscript"/>
        </w:rPr>
        <w:t>[42]</w:t>
      </w:r>
      <w:r>
        <w:rPr>
          <w:rFonts w:ascii="Times New Roman" w:hAnsi="Times New Roman"/>
        </w:rPr>
        <w:t xml:space="preserve"> indicated that consumption of molluscs in large proportion reduced the risk of hypercholesterolemia which is capable of causing cardiovascular disease, due to its high omega-3 fatty acid content. The NFE value of 26.58±2.91 is higher than 0.92%, 0.72%, 0.55%, 0.26%, and 0.93% for oyster, clam, rough periwinkle, smooth periwinkle and whelk respectively reported by Kiin-kabari </w:t>
      </w:r>
      <w:r>
        <w:rPr>
          <w:rFonts w:ascii="Times New Roman" w:hAnsi="Times New Roman"/>
          <w:i/>
        </w:rPr>
        <w:t>et al</w:t>
      </w:r>
      <w:r>
        <w:rPr>
          <w:rFonts w:ascii="Times New Roman" w:hAnsi="Times New Roman"/>
          <w:i/>
          <w:highlight w:val="yellow"/>
        </w:rPr>
        <w:t xml:space="preserve">. </w:t>
      </w:r>
      <w:r>
        <w:rPr>
          <w:rFonts w:ascii="Times New Roman" w:hAnsi="Times New Roman"/>
          <w:highlight w:val="yellow"/>
          <w:vertAlign w:val="superscript"/>
        </w:rPr>
        <w:t>[1]</w:t>
      </w:r>
      <w:r>
        <w:rPr>
          <w:rFonts w:ascii="Times New Roman" w:hAnsi="Times New Roman"/>
        </w:rPr>
        <w:t xml:space="preserve"> and 7.66% reported earlier by Obande </w:t>
      </w:r>
      <w:r>
        <w:rPr>
          <w:rFonts w:ascii="Times New Roman" w:hAnsi="Times New Roman"/>
          <w:i/>
        </w:rPr>
        <w:t>et al</w:t>
      </w:r>
      <w:r>
        <w:rPr>
          <w:rFonts w:ascii="Times New Roman" w:hAnsi="Times New Roman"/>
          <w:i/>
          <w:highlight w:val="yellow"/>
        </w:rPr>
        <w:t>.,</w:t>
      </w:r>
      <w:r>
        <w:rPr>
          <w:rFonts w:ascii="Times New Roman" w:hAnsi="Times New Roman"/>
          <w:highlight w:val="yellow"/>
        </w:rPr>
        <w:t xml:space="preserve"> </w:t>
      </w:r>
      <w:r>
        <w:rPr>
          <w:rFonts w:ascii="Times New Roman" w:hAnsi="Times New Roman"/>
          <w:highlight w:val="yellow"/>
          <w:vertAlign w:val="superscript"/>
        </w:rPr>
        <w:t>[40]</w:t>
      </w:r>
      <w:r>
        <w:rPr>
          <w:rFonts w:ascii="Times New Roman" w:hAnsi="Times New Roman"/>
        </w:rPr>
        <w:t xml:space="preserve"> for the Fresh water snail (</w:t>
      </w:r>
      <w:r>
        <w:rPr>
          <w:rFonts w:ascii="Times New Roman" w:hAnsi="Times New Roman"/>
          <w:i/>
        </w:rPr>
        <w:t>Pila ampullacea</w:t>
      </w:r>
      <w:r>
        <w:rPr>
          <w:rFonts w:ascii="Times New Roman" w:hAnsi="Times New Roman"/>
        </w:rPr>
        <w:t>) from River Benue. High carbohydrate content indicates that high consumption of molluscs can be supplemented with low energy-rich foods to balance the energy-protein intake requirement.  This is further supported with high caloric values (397.65±11.97 kcal) recorded for this species of molluscs.</w:t>
      </w:r>
    </w:p>
    <w:p>
      <w:pPr>
        <w:spacing w:after="0" w:line="480" w:lineRule="auto"/>
        <w:jc w:val="both"/>
        <w:rPr>
          <w:rFonts w:ascii="Times New Roman" w:hAnsi="Times New Roman" w:cs="Times New Roman"/>
          <w:b/>
          <w:sz w:val="24"/>
          <w:szCs w:val="24"/>
        </w:rPr>
      </w:pPr>
    </w:p>
    <w:p>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Conclusion </w:t>
      </w:r>
    </w:p>
    <w:p>
      <w:pPr>
        <w:spacing w:after="0" w:line="480" w:lineRule="auto"/>
        <w:jc w:val="both"/>
        <w:rPr>
          <w:rFonts w:ascii="Times New Roman" w:hAnsi="Times New Roman" w:cs="Times New Roman"/>
        </w:rPr>
      </w:pPr>
      <w:r>
        <w:rPr>
          <w:rFonts w:ascii="Times New Roman" w:hAnsi="Times New Roman" w:cs="Times New Roman"/>
        </w:rPr>
        <w:t>These findings showed that Knife clam contains considerable number of pathogenic microorganisms which a</w:t>
      </w:r>
      <w:r>
        <w:rPr>
          <w:rFonts w:ascii="Times New Roman" w:hAnsi="Times New Roman"/>
        </w:rPr>
        <w:t xml:space="preserve">re major sources of water borne diseases and death. It also contains considerable amount of </w:t>
      </w:r>
      <w:r>
        <w:rPr>
          <w:rFonts w:ascii="Times New Roman" w:hAnsi="Times New Roman" w:cs="Times New Roman"/>
        </w:rPr>
        <w:t xml:space="preserve">protein and other nutrients, and high caloric value. </w:t>
      </w:r>
      <w:r>
        <w:rPr>
          <w:rFonts w:ascii="Times New Roman" w:hAnsi="Times New Roman"/>
        </w:rPr>
        <w:t xml:space="preserve">From the foregoing, it has been established that the aquatic ecosystem is under threats of pollution and so clams as well as other aquatic food organisms must be processed properly before consumption. </w:t>
      </w:r>
      <w:r>
        <w:rPr>
          <w:rFonts w:ascii="Times New Roman" w:hAnsi="Times New Roman" w:cs="Aharoni"/>
        </w:rPr>
        <w:t>Considering the importance of shellfishes as primary protein source, proper monitoring and surveillance should be adopted by Government to check pollution of the aquatic environments.</w:t>
      </w:r>
      <w:bookmarkStart w:id="16" w:name="_GoBack"/>
      <w:bookmarkEnd w:id="16"/>
    </w:p>
    <w:sectPr>
      <w:footerReference r:id="rId5" w:type="default"/>
      <w:pgSz w:w="11906" w:h="16838"/>
      <w:pgMar w:top="1440" w:right="1440" w:bottom="1440" w:left="1440" w:header="708" w:footer="708" w:gutter="0"/>
      <w:lnNumType w:countBy="1" w:restart="continuou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10022FF" w:usb1="C000E47F" w:usb2="00000029" w:usb3="00000000" w:csb0="200001DF" w:csb1="2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AFF" w:usb1="C0007843" w:usb2="00000009" w:usb3="00000000" w:csb0="400001FF" w:csb1="FFFF0000"/>
  </w:font>
  <w:font w:name="Aharoni">
    <w:panose1 w:val="02010803020104030203"/>
    <w:charset w:val="B1"/>
    <w:family w:val="auto"/>
    <w:pitch w:val="default"/>
    <w:sig w:usb0="00000801" w:usb1="00000000" w:usb2="00000000" w:usb3="00000000" w:csb0="00000020" w:csb1="002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3183011"/>
      <w:docPartObj>
        <w:docPartGallery w:val="AutoText"/>
      </w:docPartObj>
    </w:sdtPr>
    <w:sdtContent>
      <w:p>
        <w:pPr>
          <w:pStyle w:val="6"/>
          <w:jc w:val="center"/>
        </w:pPr>
        <w:r>
          <w:fldChar w:fldCharType="begin"/>
        </w:r>
        <w:r>
          <w:instrText xml:space="preserve"> PAGE   \* MERGEFORMAT </w:instrText>
        </w:r>
        <w:r>
          <w:fldChar w:fldCharType="separate"/>
        </w:r>
        <w:r>
          <w:t>1</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01"/>
    <w:rsid w:val="00000A9E"/>
    <w:rsid w:val="000117D7"/>
    <w:rsid w:val="00013CB7"/>
    <w:rsid w:val="00027DEA"/>
    <w:rsid w:val="00031956"/>
    <w:rsid w:val="000428E9"/>
    <w:rsid w:val="0004630B"/>
    <w:rsid w:val="00072C7A"/>
    <w:rsid w:val="000744DF"/>
    <w:rsid w:val="000814C7"/>
    <w:rsid w:val="00082216"/>
    <w:rsid w:val="00092D0D"/>
    <w:rsid w:val="000940A9"/>
    <w:rsid w:val="000A05C7"/>
    <w:rsid w:val="000A31E1"/>
    <w:rsid w:val="000A4A50"/>
    <w:rsid w:val="000B686D"/>
    <w:rsid w:val="000C4802"/>
    <w:rsid w:val="000C4EC0"/>
    <w:rsid w:val="000D5FBF"/>
    <w:rsid w:val="000E1F93"/>
    <w:rsid w:val="000E20DB"/>
    <w:rsid w:val="000E2E7E"/>
    <w:rsid w:val="000F05ED"/>
    <w:rsid w:val="00100BEB"/>
    <w:rsid w:val="00103F55"/>
    <w:rsid w:val="00114546"/>
    <w:rsid w:val="001203AF"/>
    <w:rsid w:val="001212F2"/>
    <w:rsid w:val="0013150C"/>
    <w:rsid w:val="0013458C"/>
    <w:rsid w:val="00137DAD"/>
    <w:rsid w:val="001409DA"/>
    <w:rsid w:val="001414C5"/>
    <w:rsid w:val="00142471"/>
    <w:rsid w:val="00150E63"/>
    <w:rsid w:val="00161F2D"/>
    <w:rsid w:val="00162F83"/>
    <w:rsid w:val="00163F39"/>
    <w:rsid w:val="00166778"/>
    <w:rsid w:val="00180CDB"/>
    <w:rsid w:val="0018719A"/>
    <w:rsid w:val="001A2BDF"/>
    <w:rsid w:val="001A4E39"/>
    <w:rsid w:val="001B3677"/>
    <w:rsid w:val="001B5FFC"/>
    <w:rsid w:val="001C21DB"/>
    <w:rsid w:val="001C2FF9"/>
    <w:rsid w:val="001D6AFD"/>
    <w:rsid w:val="001D73D5"/>
    <w:rsid w:val="001E1301"/>
    <w:rsid w:val="001E1E85"/>
    <w:rsid w:val="001E3AD1"/>
    <w:rsid w:val="001E79CF"/>
    <w:rsid w:val="001F39DF"/>
    <w:rsid w:val="002015E8"/>
    <w:rsid w:val="002170C1"/>
    <w:rsid w:val="002225A3"/>
    <w:rsid w:val="00225431"/>
    <w:rsid w:val="00232DD2"/>
    <w:rsid w:val="002465AB"/>
    <w:rsid w:val="002554B5"/>
    <w:rsid w:val="0026191A"/>
    <w:rsid w:val="00262C2C"/>
    <w:rsid w:val="00282BFC"/>
    <w:rsid w:val="0029200A"/>
    <w:rsid w:val="0029241A"/>
    <w:rsid w:val="002B2569"/>
    <w:rsid w:val="002B48D5"/>
    <w:rsid w:val="002C1F44"/>
    <w:rsid w:val="002C5C7E"/>
    <w:rsid w:val="002E4582"/>
    <w:rsid w:val="002E5F06"/>
    <w:rsid w:val="002E7456"/>
    <w:rsid w:val="002E7CC8"/>
    <w:rsid w:val="002F5F96"/>
    <w:rsid w:val="002F7AA2"/>
    <w:rsid w:val="00302F25"/>
    <w:rsid w:val="00303DCA"/>
    <w:rsid w:val="0030620C"/>
    <w:rsid w:val="00306B93"/>
    <w:rsid w:val="00316990"/>
    <w:rsid w:val="003207AC"/>
    <w:rsid w:val="0032271A"/>
    <w:rsid w:val="00327BB0"/>
    <w:rsid w:val="003474F8"/>
    <w:rsid w:val="00353704"/>
    <w:rsid w:val="003572E5"/>
    <w:rsid w:val="00360673"/>
    <w:rsid w:val="00362A43"/>
    <w:rsid w:val="00366543"/>
    <w:rsid w:val="00366924"/>
    <w:rsid w:val="00374DE0"/>
    <w:rsid w:val="00381347"/>
    <w:rsid w:val="00383344"/>
    <w:rsid w:val="00393003"/>
    <w:rsid w:val="003A4136"/>
    <w:rsid w:val="003B4970"/>
    <w:rsid w:val="003C0685"/>
    <w:rsid w:val="003C745E"/>
    <w:rsid w:val="003D7C9B"/>
    <w:rsid w:val="003D7F31"/>
    <w:rsid w:val="00400710"/>
    <w:rsid w:val="00401AC1"/>
    <w:rsid w:val="00413321"/>
    <w:rsid w:val="00414C0C"/>
    <w:rsid w:val="00415BEE"/>
    <w:rsid w:val="00425BCB"/>
    <w:rsid w:val="00431E50"/>
    <w:rsid w:val="00447ACE"/>
    <w:rsid w:val="00452A16"/>
    <w:rsid w:val="00462A87"/>
    <w:rsid w:val="0046532F"/>
    <w:rsid w:val="00466544"/>
    <w:rsid w:val="0047493E"/>
    <w:rsid w:val="00483830"/>
    <w:rsid w:val="00485666"/>
    <w:rsid w:val="004878E2"/>
    <w:rsid w:val="00491713"/>
    <w:rsid w:val="00497460"/>
    <w:rsid w:val="0049761F"/>
    <w:rsid w:val="004A0A12"/>
    <w:rsid w:val="004A364A"/>
    <w:rsid w:val="004A3881"/>
    <w:rsid w:val="004A5FF0"/>
    <w:rsid w:val="004A66A0"/>
    <w:rsid w:val="004B463C"/>
    <w:rsid w:val="004B5081"/>
    <w:rsid w:val="004C7AAD"/>
    <w:rsid w:val="004D405F"/>
    <w:rsid w:val="004E1553"/>
    <w:rsid w:val="004E3FD7"/>
    <w:rsid w:val="004F281B"/>
    <w:rsid w:val="004F4300"/>
    <w:rsid w:val="005175DE"/>
    <w:rsid w:val="00524F62"/>
    <w:rsid w:val="00525D59"/>
    <w:rsid w:val="00525F9F"/>
    <w:rsid w:val="0052608C"/>
    <w:rsid w:val="005324E9"/>
    <w:rsid w:val="00546C69"/>
    <w:rsid w:val="00553C52"/>
    <w:rsid w:val="00555D6F"/>
    <w:rsid w:val="005566CC"/>
    <w:rsid w:val="00567414"/>
    <w:rsid w:val="005765DB"/>
    <w:rsid w:val="005801DF"/>
    <w:rsid w:val="005827BD"/>
    <w:rsid w:val="00590F21"/>
    <w:rsid w:val="0059612F"/>
    <w:rsid w:val="00596989"/>
    <w:rsid w:val="005A34F5"/>
    <w:rsid w:val="005A4929"/>
    <w:rsid w:val="005B5C7D"/>
    <w:rsid w:val="005C1B75"/>
    <w:rsid w:val="005D0D07"/>
    <w:rsid w:val="005D6A26"/>
    <w:rsid w:val="005D7E2B"/>
    <w:rsid w:val="005E3680"/>
    <w:rsid w:val="005E4358"/>
    <w:rsid w:val="005E49F0"/>
    <w:rsid w:val="005E6FBE"/>
    <w:rsid w:val="006102DD"/>
    <w:rsid w:val="0061684B"/>
    <w:rsid w:val="00623E5F"/>
    <w:rsid w:val="00624A01"/>
    <w:rsid w:val="006322D4"/>
    <w:rsid w:val="006333C6"/>
    <w:rsid w:val="006374BC"/>
    <w:rsid w:val="00641251"/>
    <w:rsid w:val="00643A58"/>
    <w:rsid w:val="00646BFB"/>
    <w:rsid w:val="00652494"/>
    <w:rsid w:val="0065387C"/>
    <w:rsid w:val="00661507"/>
    <w:rsid w:val="006622EA"/>
    <w:rsid w:val="00662780"/>
    <w:rsid w:val="00667082"/>
    <w:rsid w:val="006720CC"/>
    <w:rsid w:val="00672704"/>
    <w:rsid w:val="00674F5A"/>
    <w:rsid w:val="00677391"/>
    <w:rsid w:val="00685976"/>
    <w:rsid w:val="00695F75"/>
    <w:rsid w:val="006B0055"/>
    <w:rsid w:val="006B064A"/>
    <w:rsid w:val="006B7792"/>
    <w:rsid w:val="006C1137"/>
    <w:rsid w:val="006C3E31"/>
    <w:rsid w:val="006C79F1"/>
    <w:rsid w:val="006E2D14"/>
    <w:rsid w:val="006F01A0"/>
    <w:rsid w:val="006F1825"/>
    <w:rsid w:val="00711C4D"/>
    <w:rsid w:val="00717C53"/>
    <w:rsid w:val="00723DC7"/>
    <w:rsid w:val="00760910"/>
    <w:rsid w:val="00761C9F"/>
    <w:rsid w:val="00767F3B"/>
    <w:rsid w:val="007708FB"/>
    <w:rsid w:val="00770B11"/>
    <w:rsid w:val="007750AF"/>
    <w:rsid w:val="00783B70"/>
    <w:rsid w:val="0079378A"/>
    <w:rsid w:val="00793C08"/>
    <w:rsid w:val="00797991"/>
    <w:rsid w:val="00797AED"/>
    <w:rsid w:val="007B40E8"/>
    <w:rsid w:val="007B728F"/>
    <w:rsid w:val="007D22C0"/>
    <w:rsid w:val="007D39EF"/>
    <w:rsid w:val="007E22B3"/>
    <w:rsid w:val="007E7328"/>
    <w:rsid w:val="007F0419"/>
    <w:rsid w:val="007F15A0"/>
    <w:rsid w:val="0080363B"/>
    <w:rsid w:val="00804748"/>
    <w:rsid w:val="008054F4"/>
    <w:rsid w:val="00806642"/>
    <w:rsid w:val="00812F6C"/>
    <w:rsid w:val="00815E34"/>
    <w:rsid w:val="0081693F"/>
    <w:rsid w:val="008206BE"/>
    <w:rsid w:val="00822A04"/>
    <w:rsid w:val="00824126"/>
    <w:rsid w:val="00830399"/>
    <w:rsid w:val="0083097E"/>
    <w:rsid w:val="00833D38"/>
    <w:rsid w:val="00837CC3"/>
    <w:rsid w:val="0084112B"/>
    <w:rsid w:val="008511D8"/>
    <w:rsid w:val="0086037D"/>
    <w:rsid w:val="00864921"/>
    <w:rsid w:val="00865B18"/>
    <w:rsid w:val="00873ABF"/>
    <w:rsid w:val="0087482F"/>
    <w:rsid w:val="00880878"/>
    <w:rsid w:val="00881002"/>
    <w:rsid w:val="00881CFC"/>
    <w:rsid w:val="008879BB"/>
    <w:rsid w:val="00897477"/>
    <w:rsid w:val="008A08F8"/>
    <w:rsid w:val="008B4022"/>
    <w:rsid w:val="008C3FC8"/>
    <w:rsid w:val="008C4BBF"/>
    <w:rsid w:val="008D408D"/>
    <w:rsid w:val="008E305A"/>
    <w:rsid w:val="008F3F6F"/>
    <w:rsid w:val="008F4E8B"/>
    <w:rsid w:val="00904E0F"/>
    <w:rsid w:val="009065F7"/>
    <w:rsid w:val="00907C53"/>
    <w:rsid w:val="00945ED7"/>
    <w:rsid w:val="009500B4"/>
    <w:rsid w:val="00961CE0"/>
    <w:rsid w:val="0097315F"/>
    <w:rsid w:val="009747EA"/>
    <w:rsid w:val="00983E8B"/>
    <w:rsid w:val="009C7F98"/>
    <w:rsid w:val="009E364E"/>
    <w:rsid w:val="009E3D18"/>
    <w:rsid w:val="009E6AC7"/>
    <w:rsid w:val="009F42AF"/>
    <w:rsid w:val="00A07309"/>
    <w:rsid w:val="00A11441"/>
    <w:rsid w:val="00A12386"/>
    <w:rsid w:val="00A24954"/>
    <w:rsid w:val="00A3063F"/>
    <w:rsid w:val="00A326F9"/>
    <w:rsid w:val="00A40BBC"/>
    <w:rsid w:val="00A41F5C"/>
    <w:rsid w:val="00A45201"/>
    <w:rsid w:val="00A47D1B"/>
    <w:rsid w:val="00A50509"/>
    <w:rsid w:val="00A779E8"/>
    <w:rsid w:val="00A81BDC"/>
    <w:rsid w:val="00AB0D58"/>
    <w:rsid w:val="00AB123D"/>
    <w:rsid w:val="00AB2A45"/>
    <w:rsid w:val="00AC2B4C"/>
    <w:rsid w:val="00AC7C70"/>
    <w:rsid w:val="00AC7E4B"/>
    <w:rsid w:val="00AD108B"/>
    <w:rsid w:val="00AD6961"/>
    <w:rsid w:val="00B05D89"/>
    <w:rsid w:val="00B06016"/>
    <w:rsid w:val="00B105BC"/>
    <w:rsid w:val="00B10BAA"/>
    <w:rsid w:val="00B15A84"/>
    <w:rsid w:val="00B23805"/>
    <w:rsid w:val="00B32FF2"/>
    <w:rsid w:val="00B33B34"/>
    <w:rsid w:val="00B366ED"/>
    <w:rsid w:val="00B4189D"/>
    <w:rsid w:val="00B56200"/>
    <w:rsid w:val="00B57717"/>
    <w:rsid w:val="00B57E2D"/>
    <w:rsid w:val="00B81AD6"/>
    <w:rsid w:val="00B83138"/>
    <w:rsid w:val="00B845FB"/>
    <w:rsid w:val="00B96A06"/>
    <w:rsid w:val="00B97DD8"/>
    <w:rsid w:val="00BA3963"/>
    <w:rsid w:val="00BA4A73"/>
    <w:rsid w:val="00BA655C"/>
    <w:rsid w:val="00BA7DDE"/>
    <w:rsid w:val="00BB1326"/>
    <w:rsid w:val="00BB20E1"/>
    <w:rsid w:val="00BB40B3"/>
    <w:rsid w:val="00BC5710"/>
    <w:rsid w:val="00BD5C78"/>
    <w:rsid w:val="00BE3FF7"/>
    <w:rsid w:val="00BE75A6"/>
    <w:rsid w:val="00C0071E"/>
    <w:rsid w:val="00C13A90"/>
    <w:rsid w:val="00C15ED4"/>
    <w:rsid w:val="00C23BB7"/>
    <w:rsid w:val="00C300AE"/>
    <w:rsid w:val="00C33DCF"/>
    <w:rsid w:val="00C42F5E"/>
    <w:rsid w:val="00C44AE8"/>
    <w:rsid w:val="00C467F7"/>
    <w:rsid w:val="00C5206B"/>
    <w:rsid w:val="00C54B51"/>
    <w:rsid w:val="00C64B5D"/>
    <w:rsid w:val="00C7014A"/>
    <w:rsid w:val="00C722DF"/>
    <w:rsid w:val="00C72E90"/>
    <w:rsid w:val="00C747AD"/>
    <w:rsid w:val="00C767C4"/>
    <w:rsid w:val="00C86DE0"/>
    <w:rsid w:val="00CA33C2"/>
    <w:rsid w:val="00CA687A"/>
    <w:rsid w:val="00CB7152"/>
    <w:rsid w:val="00CC6A4B"/>
    <w:rsid w:val="00CE1575"/>
    <w:rsid w:val="00CE3A21"/>
    <w:rsid w:val="00CF1479"/>
    <w:rsid w:val="00D04BC9"/>
    <w:rsid w:val="00D0504C"/>
    <w:rsid w:val="00D07541"/>
    <w:rsid w:val="00D10A13"/>
    <w:rsid w:val="00D11B4B"/>
    <w:rsid w:val="00D1490E"/>
    <w:rsid w:val="00D21D93"/>
    <w:rsid w:val="00D363A5"/>
    <w:rsid w:val="00D40789"/>
    <w:rsid w:val="00D407E6"/>
    <w:rsid w:val="00D42BD4"/>
    <w:rsid w:val="00D47BF8"/>
    <w:rsid w:val="00D54A44"/>
    <w:rsid w:val="00D575E3"/>
    <w:rsid w:val="00D631F7"/>
    <w:rsid w:val="00D90034"/>
    <w:rsid w:val="00DD6601"/>
    <w:rsid w:val="00DE6A2B"/>
    <w:rsid w:val="00DE7B60"/>
    <w:rsid w:val="00DF5D37"/>
    <w:rsid w:val="00E20875"/>
    <w:rsid w:val="00E21521"/>
    <w:rsid w:val="00E326BD"/>
    <w:rsid w:val="00E3460C"/>
    <w:rsid w:val="00E34BA5"/>
    <w:rsid w:val="00E35333"/>
    <w:rsid w:val="00E37265"/>
    <w:rsid w:val="00E80037"/>
    <w:rsid w:val="00E92B00"/>
    <w:rsid w:val="00E935BE"/>
    <w:rsid w:val="00E93D70"/>
    <w:rsid w:val="00EA1B42"/>
    <w:rsid w:val="00EC06CE"/>
    <w:rsid w:val="00EC1433"/>
    <w:rsid w:val="00EC1F2E"/>
    <w:rsid w:val="00ED55AD"/>
    <w:rsid w:val="00EE778E"/>
    <w:rsid w:val="00EF0A78"/>
    <w:rsid w:val="00EF3C79"/>
    <w:rsid w:val="00F06C03"/>
    <w:rsid w:val="00F07024"/>
    <w:rsid w:val="00F17219"/>
    <w:rsid w:val="00F34281"/>
    <w:rsid w:val="00F35314"/>
    <w:rsid w:val="00F4179C"/>
    <w:rsid w:val="00F4231C"/>
    <w:rsid w:val="00F53F17"/>
    <w:rsid w:val="00F55768"/>
    <w:rsid w:val="00F600FD"/>
    <w:rsid w:val="00F6292B"/>
    <w:rsid w:val="00F77E8E"/>
    <w:rsid w:val="00F80EDA"/>
    <w:rsid w:val="00F82277"/>
    <w:rsid w:val="00F85465"/>
    <w:rsid w:val="00F91A01"/>
    <w:rsid w:val="00F95508"/>
    <w:rsid w:val="00F969E7"/>
    <w:rsid w:val="00F96C8C"/>
    <w:rsid w:val="00FA5500"/>
    <w:rsid w:val="00FA674D"/>
    <w:rsid w:val="00FA675E"/>
    <w:rsid w:val="00FB7901"/>
    <w:rsid w:val="00FC5FAB"/>
    <w:rsid w:val="00FC77A4"/>
    <w:rsid w:val="00FD2AB3"/>
    <w:rsid w:val="00FF2CE5"/>
    <w:rsid w:val="00FF575A"/>
    <w:rsid w:val="2C192582"/>
    <w:rsid w:val="7EF050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6"/>
    <w:qFormat/>
    <w:uiPriority w:val="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3">
    <w:name w:val="heading 2"/>
    <w:basedOn w:val="1"/>
    <w:next w:val="1"/>
    <w:link w:val="25"/>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n-GB" w:eastAsia="en-GB"/>
    </w:rPr>
  </w:style>
  <w:style w:type="paragraph" w:styleId="4">
    <w:name w:val="heading 3"/>
    <w:basedOn w:val="1"/>
    <w:next w:val="1"/>
    <w:link w:val="33"/>
    <w:semiHidden/>
    <w:unhideWhenUsed/>
    <w:qFormat/>
    <w:uiPriority w:val="9"/>
    <w:pPr>
      <w:keepNext/>
      <w:keepLines/>
      <w:spacing w:before="40" w:after="0"/>
      <w:outlineLvl w:val="2"/>
    </w:pPr>
    <w:rPr>
      <w:rFonts w:asciiTheme="majorHAnsi" w:hAnsiTheme="majorHAnsi" w:eastAsiaTheme="majorEastAsia" w:cstheme="majorBidi"/>
      <w:color w:val="1F3863" w:themeColor="accent1" w:themeShade="7F"/>
      <w:sz w:val="24"/>
      <w:szCs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27"/>
    <w:semiHidden/>
    <w:unhideWhenUsed/>
    <w:qFormat/>
    <w:uiPriority w:val="99"/>
    <w:pPr>
      <w:spacing w:after="0" w:line="240" w:lineRule="auto"/>
    </w:pPr>
    <w:rPr>
      <w:rFonts w:ascii="Segoe UI" w:hAnsi="Segoe UI" w:cs="Segoe UI"/>
      <w:sz w:val="18"/>
      <w:szCs w:val="18"/>
    </w:rPr>
  </w:style>
  <w:style w:type="paragraph" w:styleId="6">
    <w:name w:val="footer"/>
    <w:basedOn w:val="1"/>
    <w:link w:val="23"/>
    <w:unhideWhenUsed/>
    <w:uiPriority w:val="99"/>
    <w:pPr>
      <w:tabs>
        <w:tab w:val="center" w:pos="4513"/>
        <w:tab w:val="right" w:pos="9026"/>
      </w:tabs>
      <w:spacing w:after="0" w:line="240" w:lineRule="auto"/>
    </w:pPr>
  </w:style>
  <w:style w:type="paragraph" w:styleId="7">
    <w:name w:val="header"/>
    <w:basedOn w:val="1"/>
    <w:link w:val="22"/>
    <w:unhideWhenUsed/>
    <w:uiPriority w:val="99"/>
    <w:pPr>
      <w:tabs>
        <w:tab w:val="center" w:pos="4513"/>
        <w:tab w:val="right" w:pos="9026"/>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Emphasis"/>
    <w:qFormat/>
    <w:uiPriority w:val="20"/>
    <w:rPr>
      <w:i/>
      <w:iCs/>
    </w:rPr>
  </w:style>
  <w:style w:type="character" w:styleId="14">
    <w:name w:val="line number"/>
    <w:basedOn w:val="11"/>
    <w:semiHidden/>
    <w:unhideWhenUsed/>
    <w:qFormat/>
    <w:uiPriority w:val="99"/>
  </w:style>
  <w:style w:type="character" w:styleId="15">
    <w:name w:val="Hyperlink"/>
    <w:basedOn w:val="11"/>
    <w:unhideWhenUsed/>
    <w:qFormat/>
    <w:uiPriority w:val="99"/>
    <w:rPr>
      <w:color w:val="0563C1" w:themeColor="hyperlink"/>
      <w:u w:val="single"/>
    </w:rPr>
  </w:style>
  <w:style w:type="character" w:customStyle="1" w:styleId="16">
    <w:name w:val="person_name"/>
    <w:basedOn w:val="11"/>
    <w:uiPriority w:val="0"/>
  </w:style>
  <w:style w:type="character" w:customStyle="1" w:styleId="17">
    <w:name w:val="searchmatch"/>
    <w:basedOn w:val="11"/>
    <w:uiPriority w:val="0"/>
  </w:style>
  <w:style w:type="paragraph" w:styleId="18">
    <w:name w:val="List Paragraph"/>
    <w:basedOn w:val="1"/>
    <w:qFormat/>
    <w:uiPriority w:val="34"/>
    <w:pPr>
      <w:ind w:left="720"/>
      <w:contextualSpacing/>
    </w:pPr>
  </w:style>
  <w:style w:type="table" w:customStyle="1" w:styleId="19">
    <w:name w:val="Plain Table 2"/>
    <w:basedOn w:val="9"/>
    <w:uiPriority w:val="42"/>
    <w:pPr>
      <w:spacing w:after="0" w:line="240" w:lineRule="auto"/>
    </w:pPr>
    <w:rPr>
      <w:lang w:val="en-US"/>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styleId="20">
    <w:name w:val="No Spacing"/>
    <w:link w:val="21"/>
    <w:qFormat/>
    <w:uiPriority w:val="1"/>
    <w:pPr>
      <w:spacing w:after="0" w:line="240" w:lineRule="auto"/>
      <w:ind w:left="547" w:hanging="547"/>
      <w:jc w:val="both"/>
    </w:pPr>
    <w:rPr>
      <w:rFonts w:ascii="Calibri" w:hAnsi="Calibri" w:eastAsia="Calibri" w:cs="Times New Roman"/>
      <w:sz w:val="22"/>
      <w:szCs w:val="22"/>
      <w:lang w:val="en-US" w:eastAsia="en-US" w:bidi="ar-SA"/>
    </w:rPr>
  </w:style>
  <w:style w:type="character" w:customStyle="1" w:styleId="21">
    <w:name w:val="No Spacing Char"/>
    <w:basedOn w:val="11"/>
    <w:link w:val="20"/>
    <w:uiPriority w:val="1"/>
    <w:rPr>
      <w:rFonts w:ascii="Calibri" w:hAnsi="Calibri" w:eastAsia="Calibri" w:cs="Times New Roman"/>
      <w:lang w:val="en-US"/>
    </w:rPr>
  </w:style>
  <w:style w:type="character" w:customStyle="1" w:styleId="22">
    <w:name w:val="Header Char"/>
    <w:basedOn w:val="11"/>
    <w:link w:val="7"/>
    <w:uiPriority w:val="99"/>
    <w:rPr>
      <w:lang w:val="en-US"/>
    </w:rPr>
  </w:style>
  <w:style w:type="character" w:customStyle="1" w:styleId="23">
    <w:name w:val="Footer Char"/>
    <w:basedOn w:val="11"/>
    <w:link w:val="6"/>
    <w:uiPriority w:val="99"/>
    <w:rPr>
      <w:lang w:val="en-US"/>
    </w:rPr>
  </w:style>
  <w:style w:type="character" w:customStyle="1" w:styleId="24">
    <w:name w:val="Unresolved Mention"/>
    <w:basedOn w:val="11"/>
    <w:semiHidden/>
    <w:unhideWhenUsed/>
    <w:qFormat/>
    <w:uiPriority w:val="99"/>
    <w:rPr>
      <w:color w:val="605E5C"/>
      <w:shd w:val="clear" w:color="auto" w:fill="E1DFDD"/>
    </w:rPr>
  </w:style>
  <w:style w:type="character" w:customStyle="1" w:styleId="25">
    <w:name w:val="Heading 2 Char"/>
    <w:basedOn w:val="11"/>
    <w:link w:val="3"/>
    <w:uiPriority w:val="9"/>
    <w:rPr>
      <w:rFonts w:ascii="Times New Roman" w:hAnsi="Times New Roman" w:eastAsia="Times New Roman" w:cs="Times New Roman"/>
      <w:b/>
      <w:bCs/>
      <w:sz w:val="36"/>
      <w:szCs w:val="36"/>
      <w:lang w:eastAsia="en-GB"/>
    </w:rPr>
  </w:style>
  <w:style w:type="character" w:customStyle="1" w:styleId="26">
    <w:name w:val="Heading 1 Char"/>
    <w:basedOn w:val="11"/>
    <w:link w:val="2"/>
    <w:qFormat/>
    <w:uiPriority w:val="9"/>
    <w:rPr>
      <w:rFonts w:asciiTheme="majorHAnsi" w:hAnsiTheme="majorHAnsi" w:eastAsiaTheme="majorEastAsia" w:cstheme="majorBidi"/>
      <w:color w:val="2F5496" w:themeColor="accent1" w:themeShade="BF"/>
      <w:sz w:val="32"/>
      <w:szCs w:val="32"/>
      <w:lang w:val="en-US"/>
    </w:rPr>
  </w:style>
  <w:style w:type="character" w:customStyle="1" w:styleId="27">
    <w:name w:val="Balloon Text Char"/>
    <w:basedOn w:val="11"/>
    <w:link w:val="5"/>
    <w:semiHidden/>
    <w:qFormat/>
    <w:uiPriority w:val="99"/>
    <w:rPr>
      <w:rFonts w:ascii="Segoe UI" w:hAnsi="Segoe UI" w:cs="Segoe UI"/>
      <w:sz w:val="18"/>
      <w:szCs w:val="18"/>
      <w:lang w:val="en-US"/>
    </w:rPr>
  </w:style>
  <w:style w:type="character" w:customStyle="1" w:styleId="28">
    <w:name w:val="title-text"/>
    <w:qFormat/>
    <w:uiPriority w:val="0"/>
  </w:style>
  <w:style w:type="paragraph" w:customStyle="1" w:styleId="29">
    <w:name w:val="Text"/>
    <w:basedOn w:val="1"/>
    <w:link w:val="30"/>
    <w:qFormat/>
    <w:uiPriority w:val="0"/>
    <w:pPr>
      <w:tabs>
        <w:tab w:val="right" w:pos="7200"/>
      </w:tabs>
      <w:spacing w:after="0" w:line="260" w:lineRule="exact"/>
      <w:jc w:val="both"/>
    </w:pPr>
    <w:rPr>
      <w:rFonts w:ascii="Times New Roman" w:hAnsi="Times New Roman" w:eastAsia="Times New Roman" w:cs="Times New Roman"/>
      <w:sz w:val="20"/>
      <w:szCs w:val="24"/>
    </w:rPr>
  </w:style>
  <w:style w:type="character" w:customStyle="1" w:styleId="30">
    <w:name w:val="Text Char"/>
    <w:link w:val="29"/>
    <w:qFormat/>
    <w:uiPriority w:val="0"/>
    <w:rPr>
      <w:rFonts w:ascii="Times New Roman" w:hAnsi="Times New Roman" w:eastAsia="Times New Roman" w:cs="Times New Roman"/>
      <w:sz w:val="20"/>
      <w:szCs w:val="24"/>
      <w:lang w:val="en-US"/>
    </w:rPr>
  </w:style>
  <w:style w:type="paragraph" w:customStyle="1" w:styleId="31">
    <w:name w:val="Paragraph 1"/>
    <w:basedOn w:val="1"/>
    <w:next w:val="1"/>
    <w:qFormat/>
    <w:uiPriority w:val="0"/>
    <w:pPr>
      <w:spacing w:before="60" w:after="0" w:line="240" w:lineRule="auto"/>
      <w:jc w:val="both"/>
    </w:pPr>
    <w:rPr>
      <w:rFonts w:ascii="Times New Roman" w:hAnsi="Times New Roman" w:eastAsia="Times New Roman" w:cs="Times New Roman"/>
      <w:sz w:val="20"/>
      <w:szCs w:val="24"/>
    </w:rPr>
  </w:style>
  <w:style w:type="character" w:customStyle="1" w:styleId="32">
    <w:name w:val="ipa"/>
    <w:basedOn w:val="11"/>
    <w:qFormat/>
    <w:uiPriority w:val="0"/>
  </w:style>
  <w:style w:type="character" w:customStyle="1" w:styleId="33">
    <w:name w:val="Heading 3 Char"/>
    <w:basedOn w:val="11"/>
    <w:link w:val="4"/>
    <w:semiHidden/>
    <w:qFormat/>
    <w:uiPriority w:val="9"/>
    <w:rPr>
      <w:rFonts w:asciiTheme="majorHAnsi" w:hAnsiTheme="majorHAnsi" w:eastAsiaTheme="majorEastAsia" w:cstheme="majorBidi"/>
      <w:color w:val="1F3863" w:themeColor="accent1" w:themeShade="7F"/>
      <w:sz w:val="24"/>
      <w:szCs w:val="24"/>
      <w:lang w:val="en-US"/>
    </w:rPr>
  </w:style>
  <w:style w:type="character" w:customStyle="1" w:styleId="34">
    <w:name w:val="ng-binding"/>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1\Documents\Book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1\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000" b="1" i="0" u="none" strike="noStrike" kern="1200" spc="0" baseline="0">
                <a:solidFill>
                  <a:schemeClr val="tx1">
                    <a:lumMod val="65000"/>
                    <a:lumOff val="35000"/>
                  </a:schemeClr>
                </a:solidFill>
                <a:latin typeface="+mn-lt"/>
                <a:ea typeface="+mn-ea"/>
                <a:cs typeface="+mn-cs"/>
              </a:defRPr>
            </a:pPr>
            <a:r>
              <a:rPr lang="en-GB" sz="1000" b="1"/>
              <a:t>Fig. 2: Monthly variations in the proximate compositions of </a:t>
            </a:r>
            <a:r>
              <a:rPr lang="en-GB" sz="1000" b="1" i="1"/>
              <a:t>Tagelus</a:t>
            </a:r>
            <a:r>
              <a:rPr lang="en-GB" sz="1000" b="1"/>
              <a:t> </a:t>
            </a:r>
            <a:r>
              <a:rPr lang="en-GB" sz="1000" b="1" i="1"/>
              <a:t>adansonii</a:t>
            </a:r>
            <a:r>
              <a:rPr lang="en-GB" sz="1000" b="1"/>
              <a:t> cought in Iko  Estuary Southeast </a:t>
            </a:r>
            <a:r>
              <a:rPr lang="en-GB" sz="1000" b="1" baseline="0"/>
              <a:t>Nigeria</a:t>
            </a:r>
            <a:endParaRPr lang="en-GB" sz="1000" b="1"/>
          </a:p>
        </c:rich>
      </c:tx>
      <c:layout>
        <c:manualLayout>
          <c:xMode val="edge"/>
          <c:yMode val="edge"/>
          <c:x val="0.120097112860892"/>
          <c:y val="0.856481481481482"/>
        </c:manualLayout>
      </c:layout>
      <c:overlay val="0"/>
      <c:spPr>
        <a:noFill/>
        <a:ln>
          <a:noFill/>
        </a:ln>
        <a:effectLst/>
      </c:spPr>
    </c:title>
    <c:autoTitleDeleted val="0"/>
    <c:plotArea>
      <c:layout>
        <c:manualLayout>
          <c:layoutTarget val="inner"/>
          <c:xMode val="edge"/>
          <c:yMode val="edge"/>
          <c:x val="0.0842253976082721"/>
          <c:y val="0.018903870882944"/>
          <c:w val="0.739054751348939"/>
          <c:h val="0.638775767381168"/>
        </c:manualLayout>
      </c:layout>
      <c:lineChart>
        <c:grouping val="standard"/>
        <c:varyColors val="0"/>
        <c:ser>
          <c:idx val="0"/>
          <c:order val="0"/>
          <c:tx>
            <c:strRef>
              <c:f>Sheet6!$B$8</c:f>
              <c:strCache>
                <c:ptCount val="1"/>
                <c:pt idx="0">
                  <c:v>Crude protein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Sheet6!$C$8:$N$8</c:f>
              <c:numCache>
                <c:formatCode>General</c:formatCode>
                <c:ptCount val="12"/>
                <c:pt idx="0">
                  <c:v>56.45</c:v>
                </c:pt>
                <c:pt idx="1">
                  <c:v>60.58</c:v>
                </c:pt>
                <c:pt idx="2">
                  <c:v>63.17</c:v>
                </c:pt>
                <c:pt idx="3">
                  <c:v>61.86</c:v>
                </c:pt>
                <c:pt idx="4">
                  <c:v>62.1</c:v>
                </c:pt>
                <c:pt idx="5">
                  <c:v>63.31</c:v>
                </c:pt>
                <c:pt idx="6">
                  <c:v>59.26</c:v>
                </c:pt>
                <c:pt idx="7">
                  <c:v>65.22</c:v>
                </c:pt>
                <c:pt idx="8">
                  <c:v>63.11</c:v>
                </c:pt>
                <c:pt idx="9">
                  <c:v>64.21</c:v>
                </c:pt>
                <c:pt idx="10">
                  <c:v>59.22</c:v>
                </c:pt>
                <c:pt idx="11">
                  <c:v>59.34</c:v>
                </c:pt>
              </c:numCache>
            </c:numRef>
          </c:val>
          <c:smooth val="0"/>
        </c:ser>
        <c:ser>
          <c:idx val="1"/>
          <c:order val="1"/>
          <c:tx>
            <c:strRef>
              <c:f>Sheet6!$B$9</c:f>
              <c:strCache>
                <c:ptCount val="1"/>
                <c:pt idx="0">
                  <c:v>Moisture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Sheet6!$C$9:$N$9</c:f>
              <c:numCache>
                <c:formatCode>General</c:formatCode>
                <c:ptCount val="12"/>
                <c:pt idx="0">
                  <c:v>43.14</c:v>
                </c:pt>
                <c:pt idx="1">
                  <c:v>42.25</c:v>
                </c:pt>
                <c:pt idx="2">
                  <c:v>41.33</c:v>
                </c:pt>
                <c:pt idx="3">
                  <c:v>40.17</c:v>
                </c:pt>
                <c:pt idx="4">
                  <c:v>39.23</c:v>
                </c:pt>
                <c:pt idx="5">
                  <c:v>38.27</c:v>
                </c:pt>
                <c:pt idx="6">
                  <c:v>44.1</c:v>
                </c:pt>
                <c:pt idx="7">
                  <c:v>44.8</c:v>
                </c:pt>
                <c:pt idx="8">
                  <c:v>39.29</c:v>
                </c:pt>
                <c:pt idx="9">
                  <c:v>42.33</c:v>
                </c:pt>
                <c:pt idx="10">
                  <c:v>45.3</c:v>
                </c:pt>
                <c:pt idx="11">
                  <c:v>44.34</c:v>
                </c:pt>
              </c:numCache>
            </c:numRef>
          </c:val>
          <c:smooth val="0"/>
        </c:ser>
        <c:ser>
          <c:idx val="2"/>
          <c:order val="2"/>
          <c:tx>
            <c:strRef>
              <c:f>Sheet6!$B$10</c:f>
              <c:strCache>
                <c:ptCount val="1"/>
                <c:pt idx="0">
                  <c:v>Carbohydrates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Sheet6!$C$10:$N$10</c:f>
              <c:numCache>
                <c:formatCode>General</c:formatCode>
                <c:ptCount val="12"/>
                <c:pt idx="0">
                  <c:v>29.46</c:v>
                </c:pt>
                <c:pt idx="1">
                  <c:v>25.79</c:v>
                </c:pt>
                <c:pt idx="2">
                  <c:v>21.26</c:v>
                </c:pt>
                <c:pt idx="3">
                  <c:v>28.52</c:v>
                </c:pt>
                <c:pt idx="4">
                  <c:v>27.64</c:v>
                </c:pt>
                <c:pt idx="5">
                  <c:v>26.72</c:v>
                </c:pt>
                <c:pt idx="6">
                  <c:v>27.45</c:v>
                </c:pt>
                <c:pt idx="7">
                  <c:v>29.33</c:v>
                </c:pt>
                <c:pt idx="8">
                  <c:v>26.33</c:v>
                </c:pt>
                <c:pt idx="9">
                  <c:v>28.44</c:v>
                </c:pt>
                <c:pt idx="10">
                  <c:v>29.1</c:v>
                </c:pt>
                <c:pt idx="11">
                  <c:v>30.21</c:v>
                </c:pt>
              </c:numCache>
            </c:numRef>
          </c:val>
          <c:smooth val="0"/>
        </c:ser>
        <c:ser>
          <c:idx val="3"/>
          <c:order val="3"/>
          <c:tx>
            <c:strRef>
              <c:f>Sheet6!$B$11</c:f>
              <c:strCache>
                <c:ptCount val="1"/>
                <c:pt idx="0">
                  <c:v>Ash</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Sheet6!$C$11:$N$11</c:f>
              <c:numCache>
                <c:formatCode>General</c:formatCode>
                <c:ptCount val="12"/>
                <c:pt idx="0">
                  <c:v>5.12</c:v>
                </c:pt>
                <c:pt idx="1">
                  <c:v>6.1</c:v>
                </c:pt>
                <c:pt idx="2">
                  <c:v>6.23</c:v>
                </c:pt>
                <c:pt idx="3">
                  <c:v>6.12</c:v>
                </c:pt>
                <c:pt idx="4">
                  <c:v>6.13</c:v>
                </c:pt>
                <c:pt idx="5">
                  <c:v>6.14</c:v>
                </c:pt>
                <c:pt idx="6">
                  <c:v>5.55</c:v>
                </c:pt>
                <c:pt idx="7">
                  <c:v>6.43</c:v>
                </c:pt>
                <c:pt idx="8">
                  <c:v>6.2</c:v>
                </c:pt>
                <c:pt idx="9">
                  <c:v>5.64</c:v>
                </c:pt>
                <c:pt idx="10">
                  <c:v>5.33</c:v>
                </c:pt>
                <c:pt idx="11">
                  <c:v>5.53</c:v>
                </c:pt>
              </c:numCache>
            </c:numRef>
          </c:val>
          <c:smooth val="0"/>
        </c:ser>
        <c:ser>
          <c:idx val="4"/>
          <c:order val="4"/>
          <c:tx>
            <c:strRef>
              <c:f>Sheet6!$B$12</c:f>
              <c:strCache>
                <c:ptCount val="1"/>
                <c:pt idx="0">
                  <c:v>Lipid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Sheet6!$C$12:$N$12</c:f>
              <c:numCache>
                <c:formatCode>General</c:formatCode>
                <c:ptCount val="12"/>
                <c:pt idx="0">
                  <c:v>4.99</c:v>
                </c:pt>
                <c:pt idx="1">
                  <c:v>5.05</c:v>
                </c:pt>
                <c:pt idx="2">
                  <c:v>5.25</c:v>
                </c:pt>
                <c:pt idx="3">
                  <c:v>5.99</c:v>
                </c:pt>
                <c:pt idx="4">
                  <c:v>6.01</c:v>
                </c:pt>
                <c:pt idx="5">
                  <c:v>6.03</c:v>
                </c:pt>
                <c:pt idx="6">
                  <c:v>5.72</c:v>
                </c:pt>
                <c:pt idx="7">
                  <c:v>4.92</c:v>
                </c:pt>
                <c:pt idx="8">
                  <c:v>4.34</c:v>
                </c:pt>
                <c:pt idx="9">
                  <c:v>4.67</c:v>
                </c:pt>
                <c:pt idx="10">
                  <c:v>5.1</c:v>
                </c:pt>
                <c:pt idx="11">
                  <c:v>4.93</c:v>
                </c:pt>
              </c:numCache>
            </c:numRef>
          </c:val>
          <c:smooth val="0"/>
        </c:ser>
        <c:ser>
          <c:idx val="5"/>
          <c:order val="5"/>
          <c:tx>
            <c:strRef>
              <c:f>Sheet6!$B$13</c:f>
              <c:strCache>
                <c:ptCount val="1"/>
                <c:pt idx="0">
                  <c:v>Crude fibre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elete val="1"/>
          </c:dLbls>
          <c:cat>
            <c:strRef>
              <c:f>Sheet6!$C$7:$N$7</c:f>
              <c:strCache>
                <c:ptCount val="12"/>
                <c:pt idx="0">
                  <c:v>Feb.</c:v>
                </c:pt>
                <c:pt idx="1">
                  <c:v>March</c:v>
                </c:pt>
                <c:pt idx="2">
                  <c:v>April</c:v>
                </c:pt>
                <c:pt idx="3">
                  <c:v>May</c:v>
                </c:pt>
                <c:pt idx="4">
                  <c:v>June</c:v>
                </c:pt>
                <c:pt idx="5">
                  <c:v>July</c:v>
                </c:pt>
                <c:pt idx="6">
                  <c:v>August</c:v>
                </c:pt>
                <c:pt idx="7">
                  <c:v>Sept.</c:v>
                </c:pt>
                <c:pt idx="8">
                  <c:v>Oct.</c:v>
                </c:pt>
                <c:pt idx="9">
                  <c:v>Nov.</c:v>
                </c:pt>
                <c:pt idx="10">
                  <c:v>Dec.</c:v>
                </c:pt>
                <c:pt idx="11">
                  <c:v>Jan.</c:v>
                </c:pt>
              </c:strCache>
            </c:strRef>
          </c:cat>
          <c:val>
            <c:numRef>
              <c:f>Sheet6!$C$13:$N$13</c:f>
              <c:numCache>
                <c:formatCode>General</c:formatCode>
                <c:ptCount val="12"/>
                <c:pt idx="0">
                  <c:v>3.96</c:v>
                </c:pt>
                <c:pt idx="1">
                  <c:v>4.09</c:v>
                </c:pt>
                <c:pt idx="2">
                  <c:v>4.11</c:v>
                </c:pt>
                <c:pt idx="3">
                  <c:v>4.18</c:v>
                </c:pt>
                <c:pt idx="4">
                  <c:v>4.15</c:v>
                </c:pt>
                <c:pt idx="5">
                  <c:v>4.21</c:v>
                </c:pt>
                <c:pt idx="6">
                  <c:v>4.1</c:v>
                </c:pt>
                <c:pt idx="7">
                  <c:v>4.1</c:v>
                </c:pt>
                <c:pt idx="8">
                  <c:v>4.42</c:v>
                </c:pt>
                <c:pt idx="9">
                  <c:v>3.52</c:v>
                </c:pt>
                <c:pt idx="10">
                  <c:v>3.89</c:v>
                </c:pt>
                <c:pt idx="11">
                  <c:v>3.94</c:v>
                </c:pt>
              </c:numCache>
            </c:numRef>
          </c:val>
          <c:smooth val="0"/>
        </c:ser>
        <c:dLbls>
          <c:showLegendKey val="0"/>
          <c:showVal val="0"/>
          <c:showCatName val="0"/>
          <c:showSerName val="0"/>
          <c:showPercent val="0"/>
          <c:showBubbleSize val="0"/>
        </c:dLbls>
        <c:marker val="1"/>
        <c:smooth val="0"/>
        <c:axId val="293545728"/>
        <c:axId val="293544552"/>
      </c:lineChart>
      <c:catAx>
        <c:axId val="293545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GB" sz="1000" b="1"/>
                  <a:t>Sampling month</a:t>
                </a:r>
                <a:endParaRPr lang="en-GB" sz="1000" b="1"/>
              </a:p>
            </c:rich>
          </c:tx>
          <c:layout>
            <c:manualLayout>
              <c:xMode val="edge"/>
              <c:yMode val="edge"/>
              <c:x val="0.362362239457606"/>
              <c:y val="0.787742226594417"/>
            </c:manualLayout>
          </c:layout>
          <c:overlay val="0"/>
          <c:spPr>
            <a:noFill/>
            <a:ln>
              <a:noFill/>
            </a:ln>
            <a:effectLst/>
          </c:sp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crossAx val="293544552"/>
        <c:crosses val="autoZero"/>
        <c:auto val="1"/>
        <c:lblAlgn val="ctr"/>
        <c:lblOffset val="100"/>
        <c:noMultiLvlLbl val="0"/>
      </c:catAx>
      <c:valAx>
        <c:axId val="293544552"/>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GB" sz="1000" b="1"/>
                  <a:t>Composition</a:t>
                </a:r>
                <a:r>
                  <a:rPr lang="en-GB" sz="1000"/>
                  <a:t> </a:t>
                </a:r>
                <a:r>
                  <a:rPr lang="en-GB" sz="1000" b="1"/>
                  <a:t>(%)</a:t>
                </a:r>
                <a:endParaRPr lang="en-GB" sz="1000" b="1"/>
              </a:p>
            </c:rich>
          </c:tx>
          <c:layout/>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545728"/>
        <c:crosses val="autoZero"/>
        <c:crossBetween val="between"/>
      </c:valAx>
      <c:spPr>
        <a:noFill/>
        <a:ln>
          <a:noFill/>
        </a:ln>
        <a:effectLst/>
      </c:spPr>
    </c:plotArea>
    <c:legend>
      <c:legendPos val="r"/>
      <c:layout>
        <c:manualLayout>
          <c:xMode val="edge"/>
          <c:yMode val="edge"/>
          <c:x val="0.816169632339265"/>
          <c:y val="0.00497888202797572"/>
          <c:w val="0.167163861088286"/>
          <c:h val="0.264451246174027"/>
        </c:manualLayout>
      </c:layout>
      <c:overlay val="0"/>
      <c:spPr>
        <a:noFill/>
        <a:ln>
          <a:noFill/>
        </a:ln>
        <a:effectLst/>
      </c:spPr>
      <c:txPr>
        <a:bodyPr rot="0" spcFirstLastPara="1"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9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GB" sz="900" b="1" baseline="0"/>
              <a:t>Fig. 3: Monthly variation in the caloric value of </a:t>
            </a:r>
            <a:r>
              <a:rPr lang="en-GB" sz="900" b="1" i="1" baseline="0"/>
              <a:t>Tagelus adansonii</a:t>
            </a:r>
            <a:endParaRPr lang="en-GB" sz="900" b="1" i="1" baseline="0"/>
          </a:p>
          <a:p>
            <a:pPr>
              <a:defRPr lang="zh-CN" sz="9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GB" sz="900" b="1" baseline="0"/>
              <a:t>caugth from Iko Estuary Southeast, Nigeria.</a:t>
            </a:r>
            <a:endParaRPr lang="en-GB" sz="900" b="1" baseline="0"/>
          </a:p>
        </c:rich>
      </c:tx>
      <c:layout>
        <c:manualLayout>
          <c:xMode val="edge"/>
          <c:yMode val="edge"/>
          <c:x val="0.17751289507779"/>
          <c:y val="0.863983949121744"/>
        </c:manualLayout>
      </c:layout>
      <c:overlay val="0"/>
      <c:spPr>
        <a:noFill/>
        <a:ln>
          <a:noFill/>
        </a:ln>
        <a:effectLst/>
      </c:spPr>
    </c:title>
    <c:autoTitleDeleted val="0"/>
    <c:plotArea>
      <c:layout>
        <c:manualLayout>
          <c:layoutTarget val="inner"/>
          <c:xMode val="edge"/>
          <c:yMode val="edge"/>
          <c:x val="0.0820253718285214"/>
          <c:y val="0.0254283318751823"/>
          <c:w val="0.890196850393701"/>
          <c:h val="0.670155305172489"/>
        </c:manualLayout>
      </c:layout>
      <c:barChart>
        <c:barDir val="col"/>
        <c:grouping val="clustered"/>
        <c:varyColors val="0"/>
        <c:ser>
          <c:idx val="0"/>
          <c:order val="0"/>
          <c:spPr>
            <a:solidFill>
              <a:schemeClr val="accent1"/>
            </a:solidFill>
            <a:ln>
              <a:noFill/>
            </a:ln>
            <a:effectLst/>
            <a:sp3d/>
          </c:spPr>
          <c:invertIfNegative val="0"/>
          <c:dLbls>
            <c:delete val="1"/>
          </c:dLbls>
          <c:cat>
            <c:strRef>
              <c:f>Sheet15!$B$3:$M$3</c:f>
              <c:strCache>
                <c:ptCount val="12"/>
                <c:pt idx="0">
                  <c:v>Feb.</c:v>
                </c:pt>
                <c:pt idx="1">
                  <c:v>March</c:v>
                </c:pt>
                <c:pt idx="2">
                  <c:v>April </c:v>
                </c:pt>
                <c:pt idx="3">
                  <c:v>May</c:v>
                </c:pt>
                <c:pt idx="4">
                  <c:v>June</c:v>
                </c:pt>
                <c:pt idx="5">
                  <c:v>July</c:v>
                </c:pt>
                <c:pt idx="6">
                  <c:v>Aug.</c:v>
                </c:pt>
                <c:pt idx="7">
                  <c:v>Sept.</c:v>
                </c:pt>
                <c:pt idx="8">
                  <c:v>Oct.</c:v>
                </c:pt>
                <c:pt idx="9">
                  <c:v>Nov.</c:v>
                </c:pt>
                <c:pt idx="10">
                  <c:v>Dec.</c:v>
                </c:pt>
                <c:pt idx="11">
                  <c:v>Jan.</c:v>
                </c:pt>
              </c:strCache>
            </c:strRef>
          </c:cat>
          <c:val>
            <c:numRef>
              <c:f>Sheet15!$B$4:$M$4</c:f>
              <c:numCache>
                <c:formatCode>General</c:formatCode>
                <c:ptCount val="12"/>
                <c:pt idx="0">
                  <c:v>388.63</c:v>
                </c:pt>
                <c:pt idx="1">
                  <c:v>386.86</c:v>
                </c:pt>
                <c:pt idx="2">
                  <c:v>384.97</c:v>
                </c:pt>
                <c:pt idx="3">
                  <c:v>405.47</c:v>
                </c:pt>
                <c:pt idx="4">
                  <c:v>409.33</c:v>
                </c:pt>
                <c:pt idx="5">
                  <c:v>410.39</c:v>
                </c:pt>
                <c:pt idx="6">
                  <c:v>408.22</c:v>
                </c:pt>
                <c:pt idx="7">
                  <c:v>405.32</c:v>
                </c:pt>
                <c:pt idx="8">
                  <c:v>406.22</c:v>
                </c:pt>
                <c:pt idx="9">
                  <c:v>400.54</c:v>
                </c:pt>
                <c:pt idx="10">
                  <c:v>391.29</c:v>
                </c:pt>
                <c:pt idx="11">
                  <c:v>401.22</c:v>
                </c:pt>
              </c:numCache>
            </c:numRef>
          </c:val>
        </c:ser>
        <c:dLbls>
          <c:showLegendKey val="0"/>
          <c:showVal val="0"/>
          <c:showCatName val="0"/>
          <c:showSerName val="0"/>
          <c:showPercent val="0"/>
          <c:showBubbleSize val="0"/>
        </c:dLbls>
        <c:gapWidth val="150"/>
        <c:axId val="293545336"/>
        <c:axId val="224595480"/>
      </c:barChart>
      <c:catAx>
        <c:axId val="293545336"/>
        <c:scaling>
          <c:orientation val="minMax"/>
        </c:scaling>
        <c:delete val="0"/>
        <c:axPos val="b"/>
        <c:title>
          <c:tx>
            <c:rich>
              <a:bodyPr rot="0" spcFirstLastPara="1" vertOverflow="ellipsis" vert="horz" wrap="square" anchor="ctr" anchorCtr="1"/>
              <a:lstStyle/>
              <a:p>
                <a:pPr>
                  <a:defRPr lang="zh-CN"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GB" b="1"/>
                  <a:t>Sampling month</a:t>
                </a:r>
                <a:endParaRPr lang="en-GB" b="1"/>
              </a:p>
            </c:rich>
          </c:tx>
          <c:layout>
            <c:manualLayout>
              <c:xMode val="edge"/>
              <c:yMode val="edge"/>
              <c:x val="0.401964660799078"/>
              <c:y val="0.778133292730674"/>
            </c:manualLayout>
          </c:layout>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24595480"/>
        <c:crosses val="autoZero"/>
        <c:auto val="1"/>
        <c:lblAlgn val="ctr"/>
        <c:lblOffset val="100"/>
        <c:noMultiLvlLbl val="0"/>
      </c:catAx>
      <c:valAx>
        <c:axId val="224595480"/>
        <c:scaling>
          <c:orientation val="minMax"/>
        </c:scaling>
        <c:delete val="0"/>
        <c:axPos val="l"/>
        <c:title>
          <c:tx>
            <c:rich>
              <a:bodyPr rot="-5400000" spcFirstLastPara="1" vertOverflow="ellipsis" vert="horz" wrap="square" anchor="ctr" anchorCtr="1"/>
              <a:lstStyle/>
              <a:p>
                <a:pPr>
                  <a:defRPr lang="zh-CN"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GB" b="1"/>
                  <a:t>Composition (kcal)</a:t>
                </a:r>
                <a:endParaRPr lang="en-GB" b="1"/>
              </a:p>
            </c:rich>
          </c:tx>
          <c:layout>
            <c:manualLayout>
              <c:xMode val="edge"/>
              <c:yMode val="edge"/>
              <c:x val="0.00655873152842196"/>
              <c:y val="0.152883978196406"/>
            </c:manualLayout>
          </c:layout>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93545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F45F1-A55E-47C1-8619-E8F22A5F644A}">
  <ds:schemaRefs/>
</ds:datastoreItem>
</file>

<file path=docProps/app.xml><?xml version="1.0" encoding="utf-8"?>
<Properties xmlns="http://schemas.openxmlformats.org/officeDocument/2006/extended-properties" xmlns:vt="http://schemas.openxmlformats.org/officeDocument/2006/docPropsVTypes">
  <Template>Normal</Template>
  <Pages>20</Pages>
  <Words>6918</Words>
  <Characters>39439</Characters>
  <Lines>328</Lines>
  <Paragraphs>92</Paragraphs>
  <TotalTime>23244</TotalTime>
  <ScaleCrop>false</ScaleCrop>
  <LinksUpToDate>false</LinksUpToDate>
  <CharactersWithSpaces>46265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2019-06-06T15:14:00Z</dcterms:created>
  <dc:creator>Imefon Udo</dc:creator>
  <cp:lastModifiedBy>Young_</cp:lastModifiedBy>
  <dcterms:modified xsi:type="dcterms:W3CDTF">2022-01-05T01:17:27Z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9566407B396547B894B7768D637D98A5</vt:lpwstr>
  </property>
</Properties>
</file>