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81" w:hanging="280" w:hangingChars="100"/>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Dear Editors:</w:t>
      </w:r>
    </w:p>
    <w:p>
      <w:pPr>
        <w:spacing w:line="360" w:lineRule="auto"/>
        <w:ind w:left="279" w:leftChars="133" w:firstLine="560" w:firstLineChars="200"/>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We would like to submit the enclosed manuscript entitled “Effect of family nutrition therapy on elderly patients with chronic obstructive pulmonary disease”, which we wish to be considered for publication in “Journal of Geriatric Medicine”. No conflict of interest exits in the submission of this manuscript, and manuscript is approved by all authors for publication. I would like to declare on behalf of my co-authors that the work described was original research that has not been published previously, and not under consideration for publication elsewhere, in whole or in part. All the authors listed have approved the manuscript that is enclosed.</w:t>
      </w:r>
    </w:p>
    <w:p>
      <w:pPr>
        <w:spacing w:line="360" w:lineRule="auto"/>
        <w:ind w:left="281" w:hanging="281" w:hangingChars="100"/>
        <w:jc w:val="both"/>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b/>
          <w:bCs/>
          <w:sz w:val="28"/>
          <w:szCs w:val="28"/>
          <w:lang w:val="en-US" w:eastAsia="zh-CN"/>
        </w:rPr>
        <w:t>Names and affiliation of authors</w:t>
      </w:r>
      <w:r>
        <w:rPr>
          <w:rFonts w:hint="default" w:ascii="Times New Roman" w:hAnsi="Times New Roman" w:cs="Times New Roman"/>
          <w:b w:val="0"/>
          <w:bCs w:val="0"/>
          <w:sz w:val="28"/>
          <w:szCs w:val="28"/>
          <w:lang w:val="en-US" w:eastAsia="zh-CN"/>
        </w:rPr>
        <w:t>:</w:t>
      </w:r>
      <w:r>
        <w:rPr>
          <w:rFonts w:hint="default" w:ascii="Times New Roman" w:hAnsi="Times New Roman" w:eastAsia="宋体" w:cs="Times New Roman"/>
          <w:b w:val="0"/>
          <w:bCs w:val="0"/>
          <w:color w:val="auto"/>
          <w:sz w:val="28"/>
          <w:szCs w:val="28"/>
          <w:lang w:val="en-US" w:eastAsia="zh-CN"/>
        </w:rPr>
        <w:t>Jun Xue</w:t>
      </w:r>
      <w:r>
        <w:rPr>
          <w:rFonts w:hint="default" w:ascii="Times New Roman" w:hAnsi="Times New Roman" w:eastAsia="宋体" w:cs="Times New Roman"/>
          <w:b w:val="0"/>
          <w:bCs w:val="0"/>
          <w:color w:val="auto"/>
          <w:sz w:val="28"/>
          <w:szCs w:val="28"/>
          <w:vertAlign w:val="superscript"/>
          <w:lang w:val="en-US" w:eastAsia="zh-CN"/>
        </w:rPr>
        <w:t>1</w:t>
      </w:r>
      <w:r>
        <w:rPr>
          <w:rFonts w:hint="default" w:ascii="Times New Roman" w:hAnsi="Times New Roman" w:eastAsia="宋体" w:cs="Times New Roman"/>
          <w:b w:val="0"/>
          <w:bCs w:val="0"/>
          <w:color w:val="auto"/>
          <w:sz w:val="28"/>
          <w:szCs w:val="28"/>
          <w:lang w:val="en-US" w:eastAsia="zh-CN"/>
        </w:rPr>
        <w:t>,Yanan Zhang</w:t>
      </w:r>
      <w:r>
        <w:rPr>
          <w:rFonts w:hint="default" w:ascii="Times New Roman" w:hAnsi="Times New Roman" w:eastAsia="宋体" w:cs="Times New Roman"/>
          <w:b w:val="0"/>
          <w:bCs w:val="0"/>
          <w:color w:val="auto"/>
          <w:sz w:val="28"/>
          <w:szCs w:val="28"/>
          <w:vertAlign w:val="superscript"/>
          <w:lang w:val="en-US" w:eastAsia="zh-CN"/>
        </w:rPr>
        <w:t>1</w:t>
      </w:r>
      <w:r>
        <w:rPr>
          <w:rFonts w:hint="default" w:ascii="Times New Roman" w:hAnsi="Times New Roman" w:eastAsia="宋体" w:cs="Times New Roman"/>
          <w:b w:val="0"/>
          <w:bCs w:val="0"/>
          <w:color w:val="auto"/>
          <w:sz w:val="28"/>
          <w:szCs w:val="28"/>
          <w:lang w:val="en-US" w:eastAsia="zh-CN"/>
        </w:rPr>
        <w:t>，Zh</w:t>
      </w:r>
      <w:r>
        <w:rPr>
          <w:rFonts w:hint="default" w:ascii="Times New Roman" w:hAnsi="Times New Roman" w:cs="Times New Roman"/>
          <w:b w:val="0"/>
          <w:bCs w:val="0"/>
          <w:color w:val="auto"/>
          <w:sz w:val="28"/>
          <w:szCs w:val="28"/>
          <w:lang w:val="en-US" w:eastAsia="zh-CN"/>
        </w:rPr>
        <w:t>aohe Song</w:t>
      </w:r>
      <w:r>
        <w:rPr>
          <w:rFonts w:hint="default" w:ascii="Times New Roman" w:hAnsi="Times New Roman" w:eastAsia="宋体" w:cs="Times New Roman"/>
          <w:b w:val="0"/>
          <w:bCs w:val="0"/>
          <w:color w:val="auto"/>
          <w:sz w:val="28"/>
          <w:szCs w:val="28"/>
          <w:vertAlign w:val="superscript"/>
          <w:lang w:val="en-US" w:eastAsia="zh-CN"/>
        </w:rPr>
        <w:t>1</w:t>
      </w:r>
      <w:r>
        <w:rPr>
          <w:rFonts w:hint="default" w:ascii="Times New Roman" w:hAnsi="Times New Roman" w:eastAsia="宋体" w:cs="Times New Roman"/>
          <w:b w:val="0"/>
          <w:bCs w:val="0"/>
          <w:color w:val="auto"/>
          <w:sz w:val="28"/>
          <w:szCs w:val="28"/>
          <w:lang w:val="en-US" w:eastAsia="zh-CN"/>
        </w:rPr>
        <w:t>，</w:t>
      </w:r>
      <w:r>
        <w:rPr>
          <w:rFonts w:hint="default" w:ascii="Times New Roman" w:hAnsi="Times New Roman" w:cs="Times New Roman"/>
          <w:b w:val="0"/>
          <w:bCs w:val="0"/>
          <w:color w:val="auto"/>
          <w:sz w:val="28"/>
          <w:szCs w:val="28"/>
          <w:lang w:val="en-US" w:eastAsia="zh-CN"/>
        </w:rPr>
        <w:t>Lei Wang</w:t>
      </w:r>
      <w:r>
        <w:rPr>
          <w:rFonts w:hint="default" w:ascii="Times New Roman" w:hAnsi="Times New Roman" w:cs="Times New Roman"/>
          <w:b w:val="0"/>
          <w:bCs w:val="0"/>
          <w:color w:val="auto"/>
          <w:sz w:val="28"/>
          <w:szCs w:val="28"/>
          <w:vertAlign w:val="superscript"/>
          <w:lang w:val="en-US" w:eastAsia="zh-CN"/>
        </w:rPr>
        <w:t>1</w:t>
      </w:r>
      <w:r>
        <w:rPr>
          <w:rFonts w:hint="default" w:ascii="Times New Roman" w:hAnsi="Times New Roman" w:cs="Times New Roman"/>
          <w:b w:val="0"/>
          <w:bCs w:val="0"/>
          <w:color w:val="auto"/>
          <w:sz w:val="28"/>
          <w:szCs w:val="28"/>
          <w:lang w:val="en-US" w:eastAsia="zh-CN"/>
        </w:rPr>
        <w:t>，Baoyin Bo</w:t>
      </w:r>
      <w:r>
        <w:rPr>
          <w:rFonts w:hint="default" w:ascii="Times New Roman" w:hAnsi="Times New Roman" w:cs="Times New Roman"/>
          <w:b w:val="0"/>
          <w:bCs w:val="0"/>
          <w:color w:val="auto"/>
          <w:sz w:val="28"/>
          <w:szCs w:val="28"/>
          <w:vertAlign w:val="superscript"/>
          <w:lang w:val="en-US" w:eastAsia="zh-CN"/>
        </w:rPr>
        <w:t>2</w:t>
      </w:r>
      <w:r>
        <w:rPr>
          <w:rFonts w:hint="default" w:ascii="Times New Roman" w:hAnsi="Times New Roman" w:cs="Times New Roman"/>
          <w:b w:val="0"/>
          <w:bCs w:val="0"/>
          <w:color w:val="auto"/>
          <w:sz w:val="28"/>
          <w:szCs w:val="28"/>
          <w:lang w:val="en-US" w:eastAsia="zh-CN"/>
        </w:rPr>
        <w:t>.</w:t>
      </w:r>
    </w:p>
    <w:p>
      <w:pPr>
        <w:spacing w:line="360" w:lineRule="auto"/>
        <w:ind w:left="281" w:hanging="281" w:hangingChars="1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cs="Times New Roman"/>
          <w:b/>
          <w:bCs/>
          <w:sz w:val="28"/>
          <w:szCs w:val="28"/>
          <w:lang w:val="en-US" w:eastAsia="zh-CN"/>
        </w:rPr>
        <w:t>C</w:t>
      </w:r>
      <w:r>
        <w:rPr>
          <w:rFonts w:hint="default" w:ascii="Times New Roman" w:hAnsi="Times New Roman" w:cs="Times New Roman" w:eastAsiaTheme="minorEastAsia"/>
          <w:b/>
          <w:bCs/>
          <w:sz w:val="28"/>
          <w:szCs w:val="28"/>
          <w:lang w:val="en-US" w:eastAsia="zh-CN"/>
        </w:rPr>
        <w:t>orresponding author</w:t>
      </w:r>
      <w:r>
        <w:rPr>
          <w:rFonts w:hint="default" w:ascii="Times New Roman" w:hAnsi="Times New Roman" w:cs="Times New Roman"/>
          <w:b w:val="0"/>
          <w:bCs w:val="0"/>
          <w:sz w:val="28"/>
          <w:szCs w:val="28"/>
          <w:lang w:val="en-US" w:eastAsia="zh-CN"/>
        </w:rPr>
        <w:t>:</w:t>
      </w:r>
      <w:r>
        <w:rPr>
          <w:rFonts w:hint="default" w:ascii="Times New Roman" w:hAnsi="Times New Roman" w:eastAsia="宋体" w:cs="Times New Roman"/>
          <w:b w:val="0"/>
          <w:bCs w:val="0"/>
          <w:color w:val="auto"/>
          <w:sz w:val="28"/>
          <w:szCs w:val="28"/>
          <w:lang w:val="en-US" w:eastAsia="zh-CN"/>
        </w:rPr>
        <w:t>Jun Xue</w:t>
      </w:r>
    </w:p>
    <w:p>
      <w:pPr>
        <w:spacing w:line="360" w:lineRule="auto"/>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rPr>
        <w:t>Department of Geriatrics</w:t>
      </w:r>
      <w:r>
        <w:rPr>
          <w:rFonts w:hint="default" w:ascii="Times New Roman" w:hAnsi="Times New Roman" w:cs="Times New Roman"/>
          <w:b w:val="0"/>
          <w:bCs w:val="0"/>
          <w:sz w:val="28"/>
          <w:szCs w:val="28"/>
          <w:lang w:eastAsia="zh-CN"/>
        </w:rPr>
        <w:t>，</w:t>
      </w:r>
      <w:r>
        <w:rPr>
          <w:rFonts w:hint="default" w:ascii="Times New Roman" w:hAnsi="Times New Roman" w:cs="Times New Roman"/>
          <w:b w:val="0"/>
          <w:bCs w:val="0"/>
          <w:sz w:val="28"/>
          <w:szCs w:val="28"/>
          <w:lang w:val="en-US" w:eastAsia="zh-CN"/>
        </w:rPr>
        <w:t>T</w:t>
      </w:r>
      <w:r>
        <w:rPr>
          <w:rFonts w:hint="default" w:ascii="Times New Roman" w:hAnsi="Times New Roman" w:cs="Times New Roman"/>
          <w:b w:val="0"/>
          <w:bCs w:val="0"/>
          <w:sz w:val="28"/>
          <w:szCs w:val="28"/>
        </w:rPr>
        <w:t>he Third Affiliated Hospital of Inner Mongolia Medical University</w:t>
      </w:r>
      <w:r>
        <w:rPr>
          <w:rFonts w:hint="default"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rPr>
        <w:t>Baotou</w:t>
      </w:r>
      <w:r>
        <w:rPr>
          <w:rFonts w:hint="default"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014010</w:t>
      </w:r>
      <w:r>
        <w:rPr>
          <w:rFonts w:hint="default" w:ascii="Times New Roman" w:hAnsi="Times New Roman" w:cs="Times New Roman"/>
          <w:b w:val="0"/>
          <w:bCs w:val="0"/>
          <w:sz w:val="28"/>
          <w:szCs w:val="28"/>
          <w:lang w:val="en-US" w:eastAsia="zh-CN"/>
        </w:rPr>
        <w:t xml:space="preserve">,PR </w:t>
      </w:r>
      <w:r>
        <w:rPr>
          <w:rFonts w:hint="default" w:ascii="Times New Roman" w:hAnsi="Times New Roman" w:cs="Times New Roman"/>
          <w:b w:val="0"/>
          <w:bCs w:val="0"/>
          <w:sz w:val="28"/>
          <w:szCs w:val="28"/>
        </w:rPr>
        <w:t>China</w:t>
      </w:r>
      <w:r>
        <w:rPr>
          <w:rFonts w:hint="default" w:ascii="Times New Roman" w:hAnsi="Times New Roman" w:cs="Times New Roman"/>
          <w:b w:val="0"/>
          <w:bCs w:val="0"/>
          <w:sz w:val="28"/>
          <w:szCs w:val="28"/>
          <w:lang w:val="en-US" w:eastAsia="zh-CN"/>
        </w:rPr>
        <w:t>.</w:t>
      </w:r>
    </w:p>
    <w:p>
      <w:pPr>
        <w:spacing w:line="360" w:lineRule="auto"/>
        <w:ind w:left="281" w:hanging="281" w:hangingChars="10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bCs/>
          <w:color w:val="auto"/>
          <w:sz w:val="28"/>
          <w:szCs w:val="28"/>
          <w:lang w:val="en-US" w:eastAsia="zh-CN"/>
        </w:rPr>
        <w:t>Novelty and importance of the findings detailed：</w:t>
      </w:r>
      <w:r>
        <w:rPr>
          <w:rFonts w:hint="eastAsia" w:ascii="Times New Roman" w:hAnsi="Times New Roman" w:eastAsia="宋体" w:cs="Times New Roman"/>
          <w:b w:val="0"/>
          <w:bCs w:val="0"/>
          <w:color w:val="auto"/>
          <w:sz w:val="28"/>
          <w:szCs w:val="28"/>
          <w:lang w:val="en-US" w:eastAsia="zh-CN"/>
        </w:rPr>
        <w:t>COPD patients with different degrees of malnutrition, often affect the structure and function of respiratory muscles, and the body's defense and resistance function will also decline, prone to pulmonary infection. Family enteral nutrition can avoid gastrointestinal mucosa atrophy, intestinal flora imbalance and intestinal bacteria and toxin diffusion by oral enteral nutrition solution to elderly COPD patients with malnutrition. However, most of the current studies focus on the nutritional support of COPD inpatients, and the nutritional intervention for discharged COPD patients is obviously insufficient, especially for the elderly patients with stable COPD, and less attention is paid to the quality of life of discharged patients. Therefore, this study explored the effect of enteral nutrition on nutritional status, lung function, activity tolerance and quality of life of elderly patients with COPD stable and malnutrition.</w:t>
      </w:r>
    </w:p>
    <w:p>
      <w:pPr>
        <w:spacing w:line="360" w:lineRule="auto"/>
        <w:ind w:left="281" w:hanging="281" w:hangingChars="10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bCs/>
          <w:color w:val="auto"/>
          <w:sz w:val="28"/>
          <w:szCs w:val="28"/>
          <w:lang w:val="en-US" w:eastAsia="zh-CN"/>
        </w:rPr>
        <w:t>Conflict of Interest</w:t>
      </w:r>
      <w:r>
        <w:rPr>
          <w:rFonts w:hint="eastAsia" w:ascii="Times New Roman" w:hAnsi="Times New Roman" w:eastAsia="宋体" w:cs="Times New Roman"/>
          <w:b w:val="0"/>
          <w:bCs w:val="0"/>
          <w:color w:val="auto"/>
          <w:sz w:val="28"/>
          <w:szCs w:val="28"/>
          <w:lang w:val="en-US" w:eastAsia="zh-CN"/>
        </w:rPr>
        <w:t>: The authors have declared no conflicts of interest.</w:t>
      </w:r>
    </w:p>
    <w:p>
      <w:pPr>
        <w:spacing w:line="360" w:lineRule="auto"/>
        <w:ind w:left="281" w:hanging="281" w:hangingChars="10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bCs/>
          <w:color w:val="auto"/>
          <w:sz w:val="28"/>
          <w:szCs w:val="28"/>
          <w:lang w:val="en-US" w:eastAsia="zh-CN"/>
        </w:rPr>
        <w:t>Conflict of Interest and Informed Consent：</w:t>
      </w:r>
      <w:r>
        <w:rPr>
          <w:rFonts w:hint="eastAsia" w:ascii="Times New Roman" w:hAnsi="Times New Roman" w:eastAsia="宋体" w:cs="Times New Roman"/>
          <w:b w:val="0"/>
          <w:bCs w:val="0"/>
          <w:color w:val="auto"/>
          <w:sz w:val="28"/>
          <w:szCs w:val="28"/>
          <w:lang w:val="en-US" w:eastAsia="zh-CN"/>
        </w:rPr>
        <w:t>The hospital ethics committee reviewed and approved the study protocol, and the patients or their families signed informed consent.</w:t>
      </w:r>
    </w:p>
    <w:p>
      <w:pPr>
        <w:spacing w:line="360" w:lineRule="auto"/>
        <w:ind w:left="281" w:hanging="281" w:hangingChars="100"/>
        <w:jc w:val="both"/>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Contributorship</w:t>
      </w:r>
    </w:p>
    <w:p>
      <w:pPr>
        <w:spacing w:line="360" w:lineRule="auto"/>
        <w:ind w:left="281" w:hanging="280" w:hangingChars="10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Jun Xue , deputy chief physician, participated in the design and writing of the article.</w:t>
      </w:r>
    </w:p>
    <w:p>
      <w:pPr>
        <w:spacing w:line="360" w:lineRule="auto"/>
        <w:ind w:left="281" w:hanging="280" w:hangingChars="1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Yanan Zhang , attending physician, participated in data collection and patient follow-up.</w:t>
      </w:r>
      <w:bookmarkStart w:id="0" w:name="_GoBack"/>
      <w:bookmarkEnd w:id="0"/>
    </w:p>
    <w:p>
      <w:pPr>
        <w:spacing w:line="360" w:lineRule="auto"/>
        <w:ind w:left="281" w:hanging="280" w:hangingChars="1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Zhaohe Song , attending physician, participated in data collection and patient follow-up.</w:t>
      </w:r>
    </w:p>
    <w:p>
      <w:pPr>
        <w:spacing w:line="360" w:lineRule="auto"/>
        <w:ind w:left="281" w:hanging="280" w:hangingChars="10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Lei Wang , resident, participated in the statistical analysis of the data</w:t>
      </w:r>
    </w:p>
    <w:p>
      <w:pPr>
        <w:spacing w:line="360" w:lineRule="auto"/>
        <w:ind w:left="281" w:hanging="280" w:hangingChars="1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Baoying Bo, chief physician, participated in the later revision of the article.</w:t>
      </w:r>
    </w:p>
    <w:p>
      <w:pPr>
        <w:spacing w:line="360" w:lineRule="auto"/>
        <w:ind w:left="281" w:hanging="280" w:hangingChars="100"/>
        <w:jc w:val="both"/>
        <w:rPr>
          <w:rFonts w:hint="default" w:ascii="Times New Roman" w:hAnsi="Times New Roman" w:eastAsia="宋体" w:cs="Times New Roman"/>
          <w:b w:val="0"/>
          <w:b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7776"/>
    <w:rsid w:val="0C5F5506"/>
    <w:rsid w:val="295029CE"/>
    <w:rsid w:val="318A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2020-07-29T03:30:00Z</dcterms:created>
  <dc:creator>初夏</dc:creator>
  <cp:lastModifiedBy>初夏</cp:lastModifiedBy>
  <dcterms:modified xsi:type="dcterms:W3CDTF">2020-07-29T08:50:22Z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