
<file path=[Content_Types].xml><?xml version="1.0" encoding="utf-8"?>
<Types xmlns="http://schemas.openxmlformats.org/package/2006/content-types">
  <Default Extension="xlsx" ContentType="application/vnd.openxmlformats-officedocument.spreadsheetml.sheet"/>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line="276" w:lineRule="auto"/>
        <w:rPr>
          <w:rFonts w:eastAsia="SimSun, 宋体" w:asciiTheme="majorBidi" w:hAnsiTheme="majorBidi" w:cstheme="majorBidi"/>
          <w:b/>
          <w:bCs/>
          <w:kern w:val="3"/>
          <w:sz w:val="32"/>
          <w:szCs w:val="32"/>
          <w:shd w:val="clear" w:color="auto" w:fill="FFFFFF"/>
        </w:rPr>
      </w:pPr>
      <w:bookmarkStart w:id="13" w:name="_GoBack"/>
      <w:bookmarkEnd w:id="13"/>
      <w:r>
        <w:rPr>
          <w:rFonts w:eastAsia="SimSun, 宋体" w:asciiTheme="majorBidi" w:hAnsiTheme="majorBidi" w:cstheme="majorBidi"/>
          <w:b/>
          <w:bCs/>
          <w:kern w:val="3"/>
          <w:sz w:val="32"/>
          <w:szCs w:val="32"/>
          <w:shd w:val="clear" w:color="auto" w:fill="FFFFFF"/>
        </w:rPr>
        <w:t>Evaluation and simulation of the effect of the types of glazing and the choice of materials on the energy efficiency of a building</w:t>
      </w:r>
    </w:p>
    <w:p>
      <w:pPr>
        <w:rPr>
          <w:lang w:val="en-AU" w:bidi="ar-SA"/>
        </w:rPr>
      </w:pPr>
    </w:p>
    <w:p>
      <w:pPr>
        <w:pStyle w:val="17"/>
        <w:spacing w:line="276" w:lineRule="auto"/>
        <w:jc w:val="center"/>
        <w:rPr>
          <w:rFonts w:eastAsia="Cambria" w:asciiTheme="majorBidi" w:hAnsiTheme="majorBidi" w:cstheme="majorBidi"/>
          <w:b/>
          <w:color w:val="auto"/>
          <w:spacing w:val="-6"/>
          <w:vertAlign w:val="superscript"/>
          <w:lang w:val="fr-FR"/>
        </w:rPr>
      </w:pPr>
      <w:r>
        <w:rPr>
          <w:rFonts w:eastAsia="Cambria" w:asciiTheme="majorBidi" w:hAnsiTheme="majorBidi" w:cstheme="majorBidi"/>
          <w:b/>
          <w:color w:val="auto"/>
          <w:spacing w:val="-6"/>
          <w:lang w:val="fr-FR"/>
        </w:rPr>
        <w:t>Sami Yaich</w:t>
      </w:r>
      <w:r>
        <w:rPr>
          <w:rFonts w:eastAsia="Cambria" w:asciiTheme="majorBidi" w:hAnsiTheme="majorBidi" w:cstheme="majorBidi"/>
          <w:b/>
          <w:color w:val="auto"/>
          <w:spacing w:val="-6"/>
          <w:vertAlign w:val="superscript"/>
          <w:lang w:val="fr-FR"/>
        </w:rPr>
        <w:t>1</w:t>
      </w:r>
      <w:r>
        <w:rPr>
          <w:rFonts w:eastAsia="Cambria" w:asciiTheme="majorBidi" w:hAnsiTheme="majorBidi" w:cstheme="majorBidi"/>
          <w:b/>
          <w:color w:val="auto"/>
          <w:spacing w:val="-6"/>
          <w:lang w:val="fr-FR"/>
        </w:rPr>
        <w:t>, Mohamed Amine Elgharbi</w:t>
      </w:r>
      <w:r>
        <w:rPr>
          <w:rFonts w:eastAsia="Cambria" w:asciiTheme="majorBidi" w:hAnsiTheme="majorBidi" w:cstheme="majorBidi"/>
          <w:b/>
          <w:color w:val="auto"/>
          <w:spacing w:val="-6"/>
          <w:vertAlign w:val="superscript"/>
          <w:lang w:val="fr-FR"/>
        </w:rPr>
        <w:t>1</w:t>
      </w:r>
      <w:r>
        <w:rPr>
          <w:rFonts w:eastAsia="Cambria" w:asciiTheme="majorBidi" w:hAnsiTheme="majorBidi" w:cstheme="majorBidi"/>
          <w:b/>
          <w:color w:val="auto"/>
          <w:spacing w:val="-6"/>
          <w:lang w:val="fr-FR"/>
        </w:rPr>
        <w:t xml:space="preserve">, Malek Jedidi </w:t>
      </w:r>
      <w:r>
        <w:rPr>
          <w:rFonts w:eastAsia="Cambria" w:asciiTheme="majorBidi" w:hAnsiTheme="majorBidi" w:cstheme="majorBidi"/>
          <w:b/>
          <w:color w:val="auto"/>
          <w:spacing w:val="-6"/>
          <w:vertAlign w:val="superscript"/>
          <w:lang w:val="fr-FR"/>
        </w:rPr>
        <w:t>1,2*</w:t>
      </w:r>
      <w:r>
        <w:rPr>
          <w:rFonts w:eastAsia="Cambria" w:asciiTheme="majorBidi" w:hAnsiTheme="majorBidi" w:cstheme="majorBidi"/>
          <w:b/>
          <w:color w:val="auto"/>
          <w:spacing w:val="-6"/>
          <w:lang w:val="fr-FR"/>
        </w:rPr>
        <w:t xml:space="preserve"> </w:t>
      </w:r>
    </w:p>
    <w:p>
      <w:pPr>
        <w:pStyle w:val="17"/>
        <w:spacing w:line="276" w:lineRule="auto"/>
        <w:jc w:val="center"/>
        <w:rPr>
          <w:rFonts w:eastAsia="Cambria" w:asciiTheme="majorBidi" w:hAnsiTheme="majorBidi" w:cstheme="majorBidi"/>
          <w:b/>
          <w:color w:val="auto"/>
          <w:spacing w:val="-6"/>
          <w:lang w:val="fr-FR"/>
        </w:rPr>
      </w:pPr>
    </w:p>
    <w:p>
      <w:pPr>
        <w:pStyle w:val="16"/>
        <w:spacing w:line="276" w:lineRule="auto"/>
        <w:rPr>
          <w:sz w:val="22"/>
          <w:szCs w:val="22"/>
        </w:rPr>
      </w:pPr>
      <w:r>
        <w:rPr>
          <w:sz w:val="22"/>
          <w:szCs w:val="22"/>
          <w:vertAlign w:val="superscript"/>
        </w:rPr>
        <w:t>1</w:t>
      </w:r>
      <w:r>
        <w:rPr>
          <w:sz w:val="22"/>
          <w:szCs w:val="22"/>
        </w:rPr>
        <w:t xml:space="preserve">Higher Institute of Technological Studies of Sfax, Department of Civil Engineering, Sfax, Tunisia </w:t>
      </w:r>
    </w:p>
    <w:p>
      <w:pPr>
        <w:pStyle w:val="16"/>
        <w:spacing w:line="276" w:lineRule="auto"/>
        <w:rPr>
          <w:sz w:val="22"/>
          <w:szCs w:val="22"/>
        </w:rPr>
      </w:pPr>
      <w:r>
        <w:rPr>
          <w:sz w:val="22"/>
          <w:szCs w:val="22"/>
          <w:vertAlign w:val="superscript"/>
        </w:rPr>
        <w:t>2</w:t>
      </w:r>
      <w:r>
        <w:rPr>
          <w:sz w:val="22"/>
          <w:szCs w:val="22"/>
        </w:rPr>
        <w:t>University of Tunis El Manar, National Engineering School of Tunis, Civil Engineering Laboratory, Tunis, Tunisia</w:t>
      </w:r>
    </w:p>
    <w:p>
      <w:pPr>
        <w:pStyle w:val="13"/>
        <w:rPr>
          <w:rStyle w:val="14"/>
          <w:b/>
          <w:bCs/>
          <w:lang w:val="en-US"/>
        </w:rPr>
      </w:pPr>
    </w:p>
    <w:p>
      <w:pPr>
        <w:pStyle w:val="12"/>
        <w:rPr>
          <w:lang w:val="fr-FR"/>
        </w:rPr>
      </w:pPr>
    </w:p>
    <w:p>
      <w:pPr>
        <w:jc w:val="center"/>
        <w:rPr>
          <w:rFonts w:cs="Mangal"/>
          <w:sz w:val="22"/>
          <w:szCs w:val="20"/>
        </w:rPr>
      </w:pPr>
      <w:r>
        <w:rPr>
          <w:rFonts w:cs="Mangal"/>
          <w:sz w:val="22"/>
          <w:szCs w:val="20"/>
        </w:rPr>
        <w:t>*Corresponding Author. E-Mail:  malekjedidi@yahoo.fr</w:t>
      </w:r>
    </w:p>
    <w:p>
      <w:pPr>
        <w:rPr>
          <w:rFonts w:cs="Mangal"/>
          <w:sz w:val="22"/>
          <w:szCs w:val="20"/>
        </w:rPr>
      </w:pPr>
    </w:p>
    <w:p>
      <w:pPr>
        <w:spacing w:line="276" w:lineRule="auto"/>
        <w:rPr>
          <w:rFonts w:asciiTheme="majorBidi" w:hAnsiTheme="majorBidi" w:cstheme="majorBidi"/>
        </w:rPr>
      </w:pPr>
    </w:p>
    <w:p>
      <w:pPr>
        <w:spacing w:after="120"/>
        <w:rPr>
          <w:rFonts w:eastAsia="Cambria" w:asciiTheme="majorBidi" w:hAnsiTheme="majorBidi" w:cstheme="majorBidi"/>
          <w:b/>
          <w:w w:val="102"/>
        </w:rPr>
      </w:pPr>
      <w:r>
        <w:rPr>
          <w:rFonts w:eastAsia="Cambria" w:asciiTheme="majorBidi" w:hAnsiTheme="majorBidi" w:cstheme="majorBidi"/>
          <w:b/>
          <w:w w:val="102"/>
        </w:rPr>
        <w:t>ABSTRACT</w:t>
      </w:r>
    </w:p>
    <w:p>
      <w:pPr>
        <w:spacing w:after="120" w:line="360" w:lineRule="auto"/>
        <w:jc w:val="both"/>
      </w:pPr>
      <w:r>
        <w:t>Tunisia is one of the pioneering developing countries in terms of energy efficiency policy initiated since the mid-1980s. Indeed, energy efficiency has become one of the main pillars of the country's energy strategy, especially with the increase in energy prices. The main objective of this work is to give an idea of the impact that certain choices made during the design of a building can have on its energy balance, namely: the orientation of the facades, the types of glazing and their surfaces, the choice of materials, etc. The calculation of the building's energy requirement was determined using the transient systems simulation program TRNSYS (version 18) with a modular structure.</w:t>
      </w:r>
    </w:p>
    <w:p>
      <w:pPr>
        <w:spacing w:after="120" w:line="360" w:lineRule="auto"/>
        <w:jc w:val="both"/>
      </w:pPr>
      <w:r>
        <w:rPr>
          <w:b/>
          <w:bCs/>
        </w:rPr>
        <w:t>Keywords:</w:t>
      </w:r>
      <w:r>
        <w:t xml:space="preserve"> Energy efficiency; Energy requirement; Building, Orientation; Simulation, TRNSYS.</w:t>
      </w:r>
    </w:p>
    <w:p>
      <w:pPr>
        <w:spacing w:after="120"/>
        <w:jc w:val="both"/>
        <w:rPr>
          <w:b/>
          <w:bCs/>
        </w:rPr>
      </w:pPr>
      <w:r>
        <w:rPr>
          <w:b/>
          <w:bCs/>
        </w:rPr>
        <w:t>INTRODUCTION</w:t>
      </w:r>
    </w:p>
    <w:p>
      <w:pPr>
        <w:spacing w:line="360" w:lineRule="auto"/>
        <w:jc w:val="both"/>
      </w:pPr>
      <w:r>
        <w:t xml:space="preserve">Energy efficiency is often considered the most important source of energy for a country. All scenarios that make projections, whether at regional, national or global level, by betting on large shares of non-fossil energy sources in the global energy mix are based on considerable reductions in primary energy demand in final energy consumption </w:t>
      </w:r>
      <w:r>
        <w:rPr>
          <w:vertAlign w:val="superscript"/>
        </w:rPr>
        <w:t>[1-2]</w:t>
      </w:r>
      <w:r>
        <w:t>.</w:t>
      </w:r>
    </w:p>
    <w:p>
      <w:pPr>
        <w:spacing w:line="360" w:lineRule="auto"/>
        <w:jc w:val="both"/>
      </w:pPr>
      <w:r>
        <w:t>All sectors need to improve their energy efficiency, otherwise it will not be possible to decouple economic growth from energy demand and greenhouse gas emissions.</w:t>
      </w:r>
    </w:p>
    <w:p>
      <w:pPr>
        <w:spacing w:line="360" w:lineRule="auto"/>
        <w:jc w:val="both"/>
      </w:pPr>
      <w:r>
        <w:t xml:space="preserve">Buildings are the largest individual consumers of energy in the world, but they also offer the greatest individual potential for saving energy. Buildings must meet the user's need for comfort and maintain an acceptable level of interior comfort, day and night, all year round </w:t>
      </w:r>
      <w:r>
        <w:rPr>
          <w:vertAlign w:val="superscript"/>
        </w:rPr>
        <w:t>[3]</w:t>
      </w:r>
      <w:r>
        <w:t>. Low-energy buildings are of crucial importance for the future evolution of greenhouse gas emissions because, if they are not, population growth and the growing demands of the population for energy will household energy consumption will reach enormous quantities. During the past years, the average and specific energy consumption per household has increased in most regions of the world. Recently, this increase has been due to the growth of emerging economies such as China, India and South East Asia where more and more people can afford to use electrical household equipment and heating installations. cooling. In industrial countries, household energy consumption has increased for the following two reasons:</w:t>
      </w:r>
    </w:p>
    <w:p>
      <w:pPr>
        <w:pStyle w:val="21"/>
        <w:numPr>
          <w:ilvl w:val="0"/>
          <w:numId w:val="3"/>
        </w:numPr>
        <w:spacing w:line="360" w:lineRule="auto"/>
        <w:jc w:val="both"/>
      </w:pPr>
      <w:r>
        <w:t>The average household size has fallen, so that the number of households has increased and the number of basic household appliances has followed this trend;</w:t>
      </w:r>
    </w:p>
    <w:p>
      <w:pPr>
        <w:pStyle w:val="21"/>
        <w:numPr>
          <w:ilvl w:val="0"/>
          <w:numId w:val="3"/>
        </w:numPr>
        <w:spacing w:line="360" w:lineRule="auto"/>
        <w:jc w:val="both"/>
      </w:pPr>
      <w:r>
        <w:t>The average size of houses and apartments has grown, leading to an increase in heating, air conditioning and lighting needs and thirdly, the number of electrical appliances per household has itself increased.</w:t>
      </w:r>
    </w:p>
    <w:p>
      <w:pPr>
        <w:spacing w:line="360" w:lineRule="auto"/>
        <w:jc w:val="both"/>
      </w:pPr>
      <w:r>
        <w:t xml:space="preserve">Improving the energy efficiency of buildings is an important source of energy savings in developing countries, given the share that buildings represent in the demand for commercial energy in these countries (about 30% of the total electricity consumption in West Africa). Managers often consider energy expenditure as a fixed cost over which they have no control. However, appropriate techniques for the use and control of energy make it possible to achieve annual savings of around 10 to 15% in buildings in the tertiary sectors </w:t>
      </w:r>
      <w:r>
        <w:rPr>
          <w:vertAlign w:val="superscript"/>
        </w:rPr>
        <w:t>[4]</w:t>
      </w:r>
      <w:r>
        <w:t>.</w:t>
      </w:r>
    </w:p>
    <w:p>
      <w:pPr>
        <w:spacing w:line="360" w:lineRule="auto"/>
        <w:jc w:val="both"/>
      </w:pPr>
      <w:r>
        <w:t xml:space="preserve">Tunisia has accelerated its action in terms of energy efficiency since the early 2000s by undertaking a diversification of its energy mix. This diversification aims to cope with the widening of the national energy deficit, which exceeded 4 Mtoe (million tonnes of oil equivalent) in 2015, reaching a rate of 56% </w:t>
      </w:r>
      <w:r>
        <w:rPr>
          <w:vertAlign w:val="superscript"/>
        </w:rPr>
        <w:t>[5]</w:t>
      </w:r>
      <w:r>
        <w:t>. The main characteristics of the energy sector in Tunisia are as follows:</w:t>
      </w:r>
    </w:p>
    <w:p>
      <w:pPr>
        <w:pStyle w:val="21"/>
        <w:numPr>
          <w:ilvl w:val="0"/>
          <w:numId w:val="4"/>
        </w:numPr>
        <w:spacing w:line="360" w:lineRule="auto"/>
        <w:jc w:val="both"/>
      </w:pPr>
      <w:r>
        <w:t>A sharp increase in the demand for electricity and the great importance given to carbon energies by the national authorities;</w:t>
      </w:r>
    </w:p>
    <w:p>
      <w:pPr>
        <w:pStyle w:val="21"/>
        <w:numPr>
          <w:ilvl w:val="0"/>
          <w:numId w:val="4"/>
        </w:numPr>
        <w:spacing w:line="360" w:lineRule="auto"/>
        <w:jc w:val="both"/>
      </w:pPr>
      <w:r>
        <w:t>Continued construction of new gas-fired power plants (97% of current electricity production) to meet growing demand and save the country from power outages;</w:t>
      </w:r>
    </w:p>
    <w:p>
      <w:pPr>
        <w:pStyle w:val="21"/>
        <w:numPr>
          <w:ilvl w:val="0"/>
          <w:numId w:val="4"/>
        </w:numPr>
        <w:spacing w:line="360" w:lineRule="auto"/>
        <w:jc w:val="both"/>
      </w:pPr>
      <w:r>
        <w:t>Quasi-monopoly of electricity production by the public sector (81%).</w:t>
      </w:r>
    </w:p>
    <w:p>
      <w:pPr>
        <w:spacing w:line="360" w:lineRule="auto"/>
        <w:jc w:val="both"/>
      </w:pPr>
      <w:r>
        <w:t xml:space="preserve">Several studies have been carried out on buildings to determine the influence of several parameters on the energy balance </w:t>
      </w:r>
      <w:r>
        <w:rPr>
          <w:vertAlign w:val="superscript"/>
        </w:rPr>
        <w:t>[6-11]</w:t>
      </w:r>
      <w:r>
        <w:t>. The energy diagnosis of a building constitutes the realization of a complete assessment of the energy situation of the building. It pursues three objectives :</w:t>
      </w:r>
    </w:p>
    <w:p>
      <w:pPr>
        <w:pStyle w:val="21"/>
        <w:numPr>
          <w:ilvl w:val="0"/>
          <w:numId w:val="5"/>
        </w:numPr>
        <w:spacing w:line="360" w:lineRule="auto"/>
        <w:jc w:val="both"/>
      </w:pPr>
      <w:r>
        <w:t>Optimization of energy consumption;</w:t>
      </w:r>
    </w:p>
    <w:p>
      <w:pPr>
        <w:pStyle w:val="21"/>
        <w:numPr>
          <w:ilvl w:val="0"/>
          <w:numId w:val="5"/>
        </w:numPr>
        <w:spacing w:line="360" w:lineRule="auto"/>
        <w:jc w:val="both"/>
      </w:pPr>
      <w:r>
        <w:t>Identification of opportunities for using renewable energies locally;</w:t>
      </w:r>
    </w:p>
    <w:p>
      <w:pPr>
        <w:pStyle w:val="21"/>
        <w:numPr>
          <w:ilvl w:val="0"/>
          <w:numId w:val="5"/>
        </w:numPr>
        <w:spacing w:line="360" w:lineRule="auto"/>
        <w:jc w:val="both"/>
      </w:pPr>
      <w:r>
        <w:t>Improved occupant comfort.</w:t>
      </w:r>
    </w:p>
    <w:p>
      <w:pPr>
        <w:spacing w:line="360" w:lineRule="auto"/>
        <w:jc w:val="both"/>
      </w:pPr>
      <w:r>
        <w:t xml:space="preserve">In this context, this work consists in giving an idea of the impact that certain choices made during the design of a building can have on its energy balance by using dynamic thermal simulation using the transient systems simulation program TRNSYS (version 18) </w:t>
      </w:r>
      <w:r>
        <w:rPr>
          <w:vertAlign w:val="superscript"/>
        </w:rPr>
        <w:t>[12]</w:t>
      </w:r>
      <w:r>
        <w:t>.</w:t>
      </w:r>
    </w:p>
    <w:p>
      <w:pPr>
        <w:spacing w:line="360" w:lineRule="auto"/>
        <w:jc w:val="both"/>
      </w:pPr>
    </w:p>
    <w:p>
      <w:pPr>
        <w:spacing w:line="360" w:lineRule="auto"/>
        <w:rPr>
          <w:b/>
          <w:bCs/>
        </w:rPr>
      </w:pPr>
      <w:r>
        <w:rPr>
          <w:b/>
          <w:bCs/>
        </w:rPr>
        <w:t>II. EXPERIMENTAL STUDY</w:t>
      </w:r>
    </w:p>
    <w:p>
      <w:pPr>
        <w:spacing w:line="360" w:lineRule="auto"/>
        <w:rPr>
          <w:b/>
          <w:bCs/>
        </w:rPr>
      </w:pPr>
      <w:r>
        <w:rPr>
          <w:b/>
          <w:bCs/>
        </w:rPr>
        <w:t>1. Presentation of the building</w:t>
      </w:r>
    </w:p>
    <w:p>
      <w:pPr>
        <w:spacing w:line="360" w:lineRule="auto"/>
        <w:jc w:val="both"/>
      </w:pPr>
      <w:r>
        <w:t>The building is located in the city of Tunis (Figure 1.(a)) in the RT2 region at a latitude of 36°50'N, longitude of 10°14'E and an altitude of 3.00m.</w:t>
      </w:r>
    </w:p>
    <w:p>
      <w:pPr>
        <w:spacing w:line="360" w:lineRule="auto"/>
        <w:jc w:val="both"/>
      </w:pPr>
      <w:r>
        <w:t>The hot season in Tunis lasts for three months, from June to September, with an average daily high temperature above 31°C. The hottest month of the year in Tunis is August, with an average high of 34°C and low of 22°C. The cool season lasts for four months, from November to March, with an average daily high temperature below 18°C. The coldest month of the year in Tunis is January, with an average minimum temperature of 8°C and maximum of 16°C.</w:t>
      </w:r>
    </w:p>
    <w:p>
      <w:pPr>
        <w:spacing w:line="360" w:lineRule="auto"/>
        <w:jc w:val="both"/>
      </w:pPr>
      <w:r>
        <w:t>The outside air temperature T</w:t>
      </w:r>
      <w:r>
        <w:rPr>
          <w:vertAlign w:val="subscript"/>
        </w:rPr>
        <w:t>a</w:t>
      </w:r>
      <w:r>
        <w:t xml:space="preserve"> (°C) and the solar radiation G</w:t>
      </w:r>
      <w:r>
        <w:rPr>
          <w:vertAlign w:val="subscript"/>
        </w:rPr>
        <w:t>h</w:t>
      </w:r>
      <w:r>
        <w:t xml:space="preserve"> (KWh) have a huge influence on the heating and cooling demand. These data are presented in Table 1.</w:t>
      </w:r>
    </w:p>
    <w:p>
      <w:pPr>
        <w:pStyle w:val="6"/>
        <w:shd w:val="clear" w:color="auto" w:fill="FFFFFF"/>
        <w:spacing w:before="0" w:beforeAutospacing="0" w:after="0" w:afterAutospacing="0"/>
        <w:jc w:val="center"/>
        <w:rPr>
          <w:rFonts w:eastAsia="DejaVu Sans" w:cs="Lohit Hindi"/>
          <w:kern w:val="3"/>
          <w:lang w:eastAsia="zh-CN" w:bidi="hi-IN"/>
        </w:rPr>
      </w:pPr>
      <w:r>
        <w:rPr>
          <w:b/>
          <w:bCs/>
          <w:sz w:val="20"/>
          <w:szCs w:val="20"/>
        </w:rPr>
        <w:t>Table1 : Daily average weather data</w:t>
      </w:r>
      <w:r>
        <w:t xml:space="preserve"> </w:t>
      </w:r>
      <w:r>
        <w:rPr>
          <w:b/>
          <w:bCs/>
          <w:sz w:val="20"/>
          <w:szCs w:val="20"/>
        </w:rPr>
        <w:t>for the Tunis region</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72"/>
        <w:gridCol w:w="1559"/>
        <w:gridCol w:w="1565"/>
        <w:gridCol w:w="19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72" w:type="dxa"/>
            <w:vMerge w:val="restart"/>
            <w:vAlign w:val="center"/>
          </w:tcPr>
          <w:p>
            <w:pPr>
              <w:jc w:val="both"/>
              <w:rPr>
                <w:rFonts w:asciiTheme="majorBidi" w:hAnsiTheme="majorBidi" w:cstheme="majorBidi"/>
                <w:sz w:val="22"/>
                <w:szCs w:val="22"/>
              </w:rPr>
            </w:pPr>
            <w:r>
              <w:rPr>
                <w:rFonts w:asciiTheme="majorBidi" w:hAnsiTheme="majorBidi" w:cstheme="majorBidi"/>
                <w:sz w:val="22"/>
                <w:szCs w:val="22"/>
              </w:rPr>
              <w:t>Month</w:t>
            </w:r>
          </w:p>
        </w:tc>
        <w:tc>
          <w:tcPr>
            <w:tcW w:w="3124" w:type="dxa"/>
            <w:gridSpan w:val="2"/>
            <w:vAlign w:val="center"/>
          </w:tcPr>
          <w:p>
            <w:pPr>
              <w:jc w:val="center"/>
              <w:rPr>
                <w:rFonts w:asciiTheme="majorBidi" w:hAnsiTheme="majorBidi" w:cstheme="majorBidi"/>
                <w:sz w:val="22"/>
                <w:szCs w:val="22"/>
              </w:rPr>
            </w:pPr>
            <w:r>
              <w:rPr>
                <w:rFonts w:asciiTheme="majorBidi" w:hAnsiTheme="majorBidi" w:cstheme="majorBidi"/>
                <w:sz w:val="22"/>
                <w:szCs w:val="22"/>
              </w:rPr>
              <w:t>T</w:t>
            </w:r>
            <w:r>
              <w:rPr>
                <w:rFonts w:asciiTheme="majorBidi" w:hAnsiTheme="majorBidi" w:cstheme="majorBidi"/>
                <w:sz w:val="22"/>
                <w:szCs w:val="22"/>
                <w:vertAlign w:val="subscript"/>
              </w:rPr>
              <w:t>a</w:t>
            </w:r>
            <w:r>
              <w:rPr>
                <w:rFonts w:asciiTheme="majorBidi" w:hAnsiTheme="majorBidi" w:cstheme="majorBidi"/>
                <w:sz w:val="22"/>
                <w:szCs w:val="22"/>
              </w:rPr>
              <w:t xml:space="preserve"> (°C)</w:t>
            </w:r>
          </w:p>
        </w:tc>
        <w:tc>
          <w:tcPr>
            <w:tcW w:w="1979" w:type="dxa"/>
            <w:vMerge w:val="restart"/>
            <w:vAlign w:val="center"/>
          </w:tcPr>
          <w:p>
            <w:pPr>
              <w:jc w:val="both"/>
              <w:rPr>
                <w:rFonts w:asciiTheme="majorBidi" w:hAnsiTheme="majorBidi" w:cstheme="majorBidi"/>
                <w:sz w:val="22"/>
                <w:szCs w:val="22"/>
              </w:rPr>
            </w:pPr>
            <w:r>
              <w:rPr>
                <w:rFonts w:asciiTheme="majorBidi" w:hAnsiTheme="majorBidi" w:cstheme="majorBidi"/>
                <w:sz w:val="22"/>
                <w:szCs w:val="22"/>
              </w:rPr>
              <w:t>Gh (KWh)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72" w:type="dxa"/>
            <w:vMerge w:val="continue"/>
          </w:tcPr>
          <w:p>
            <w:pPr>
              <w:jc w:val="both"/>
              <w:rPr>
                <w:rFonts w:asciiTheme="majorBidi" w:hAnsiTheme="majorBidi" w:cstheme="majorBidi"/>
                <w:sz w:val="22"/>
                <w:szCs w:val="22"/>
              </w:rPr>
            </w:pPr>
          </w:p>
        </w:tc>
        <w:tc>
          <w:tcPr>
            <w:tcW w:w="1559" w:type="dxa"/>
          </w:tcPr>
          <w:p>
            <w:pPr>
              <w:jc w:val="both"/>
              <w:rPr>
                <w:rFonts w:asciiTheme="majorBidi" w:hAnsiTheme="majorBidi" w:cstheme="majorBidi"/>
                <w:sz w:val="22"/>
                <w:szCs w:val="22"/>
              </w:rPr>
            </w:pPr>
            <w:r>
              <w:rPr>
                <w:rFonts w:asciiTheme="majorBidi" w:hAnsiTheme="majorBidi" w:cstheme="majorBidi"/>
                <w:sz w:val="22"/>
                <w:szCs w:val="22"/>
              </w:rPr>
              <w:t>Max</w:t>
            </w:r>
          </w:p>
        </w:tc>
        <w:tc>
          <w:tcPr>
            <w:tcW w:w="1565" w:type="dxa"/>
          </w:tcPr>
          <w:p>
            <w:pPr>
              <w:jc w:val="both"/>
              <w:rPr>
                <w:rFonts w:asciiTheme="majorBidi" w:hAnsiTheme="majorBidi" w:cstheme="majorBidi"/>
                <w:sz w:val="22"/>
                <w:szCs w:val="22"/>
              </w:rPr>
            </w:pPr>
            <w:r>
              <w:rPr>
                <w:rFonts w:asciiTheme="majorBidi" w:hAnsiTheme="majorBidi" w:cstheme="majorBidi"/>
                <w:sz w:val="22"/>
                <w:szCs w:val="22"/>
              </w:rPr>
              <w:t>min</w:t>
            </w:r>
          </w:p>
        </w:tc>
        <w:tc>
          <w:tcPr>
            <w:tcW w:w="1979" w:type="dxa"/>
            <w:vMerge w:val="continue"/>
          </w:tcPr>
          <w:p>
            <w:pPr>
              <w:jc w:val="both"/>
              <w:rPr>
                <w:rFonts w:asciiTheme="majorBidi" w:hAnsiTheme="majorBidi" w:cstheme="majorBidi"/>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72" w:type="dxa"/>
          </w:tcPr>
          <w:p>
            <w:pPr>
              <w:jc w:val="both"/>
              <w:rPr>
                <w:rFonts w:asciiTheme="majorBidi" w:hAnsiTheme="majorBidi" w:cstheme="majorBidi"/>
                <w:sz w:val="22"/>
                <w:szCs w:val="22"/>
              </w:rPr>
            </w:pPr>
            <w:r>
              <w:rPr>
                <w:rFonts w:asciiTheme="majorBidi" w:hAnsiTheme="majorBidi" w:cstheme="majorBidi"/>
                <w:sz w:val="22"/>
                <w:szCs w:val="22"/>
              </w:rPr>
              <w:t>January</w:t>
            </w:r>
          </w:p>
        </w:tc>
        <w:tc>
          <w:tcPr>
            <w:tcW w:w="1559" w:type="dxa"/>
          </w:tcPr>
          <w:p>
            <w:pPr>
              <w:jc w:val="both"/>
              <w:rPr>
                <w:rFonts w:asciiTheme="majorBidi" w:hAnsiTheme="majorBidi" w:cstheme="majorBidi"/>
                <w:sz w:val="22"/>
                <w:szCs w:val="22"/>
              </w:rPr>
            </w:pPr>
            <w:r>
              <w:rPr>
                <w:rFonts w:asciiTheme="majorBidi" w:hAnsiTheme="majorBidi" w:cstheme="majorBidi"/>
                <w:sz w:val="22"/>
                <w:szCs w:val="22"/>
              </w:rPr>
              <w:t>16</w:t>
            </w:r>
          </w:p>
        </w:tc>
        <w:tc>
          <w:tcPr>
            <w:tcW w:w="1565" w:type="dxa"/>
          </w:tcPr>
          <w:p>
            <w:pPr>
              <w:jc w:val="both"/>
              <w:rPr>
                <w:rFonts w:asciiTheme="majorBidi" w:hAnsiTheme="majorBidi" w:cstheme="majorBidi"/>
                <w:sz w:val="22"/>
                <w:szCs w:val="22"/>
              </w:rPr>
            </w:pPr>
            <w:r>
              <w:rPr>
                <w:rFonts w:asciiTheme="majorBidi" w:hAnsiTheme="majorBidi" w:cstheme="majorBidi"/>
                <w:sz w:val="22"/>
                <w:szCs w:val="22"/>
              </w:rPr>
              <w:t>8</w:t>
            </w:r>
          </w:p>
        </w:tc>
        <w:tc>
          <w:tcPr>
            <w:tcW w:w="1979" w:type="dxa"/>
          </w:tcPr>
          <w:p>
            <w:pPr>
              <w:jc w:val="both"/>
              <w:rPr>
                <w:rFonts w:asciiTheme="majorBidi" w:hAnsiTheme="majorBidi" w:cstheme="majorBidi"/>
                <w:sz w:val="22"/>
                <w:szCs w:val="22"/>
              </w:rPr>
            </w:pPr>
            <w:r>
              <w:rPr>
                <w:rFonts w:asciiTheme="majorBidi" w:hAnsiTheme="majorBidi" w:cstheme="majorBidi"/>
                <w:sz w:val="22"/>
                <w:szCs w:val="22"/>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72" w:type="dxa"/>
          </w:tcPr>
          <w:p>
            <w:pPr>
              <w:jc w:val="both"/>
              <w:rPr>
                <w:rFonts w:asciiTheme="majorBidi" w:hAnsiTheme="majorBidi" w:cstheme="majorBidi"/>
                <w:sz w:val="22"/>
                <w:szCs w:val="22"/>
              </w:rPr>
            </w:pPr>
            <w:r>
              <w:rPr>
                <w:rFonts w:asciiTheme="majorBidi" w:hAnsiTheme="majorBidi" w:cstheme="majorBidi"/>
                <w:sz w:val="22"/>
                <w:szCs w:val="22"/>
              </w:rPr>
              <w:t>February</w:t>
            </w:r>
          </w:p>
        </w:tc>
        <w:tc>
          <w:tcPr>
            <w:tcW w:w="1559" w:type="dxa"/>
          </w:tcPr>
          <w:p>
            <w:pPr>
              <w:jc w:val="both"/>
              <w:rPr>
                <w:rFonts w:asciiTheme="majorBidi" w:hAnsiTheme="majorBidi" w:cstheme="majorBidi"/>
                <w:sz w:val="22"/>
                <w:szCs w:val="22"/>
              </w:rPr>
            </w:pPr>
            <w:r>
              <w:rPr>
                <w:rFonts w:asciiTheme="majorBidi" w:hAnsiTheme="majorBidi" w:cstheme="majorBidi"/>
                <w:sz w:val="22"/>
                <w:szCs w:val="22"/>
              </w:rPr>
              <w:t>17</w:t>
            </w:r>
          </w:p>
        </w:tc>
        <w:tc>
          <w:tcPr>
            <w:tcW w:w="1565" w:type="dxa"/>
          </w:tcPr>
          <w:p>
            <w:pPr>
              <w:jc w:val="both"/>
              <w:rPr>
                <w:rFonts w:asciiTheme="majorBidi" w:hAnsiTheme="majorBidi" w:cstheme="majorBidi"/>
                <w:sz w:val="22"/>
                <w:szCs w:val="22"/>
              </w:rPr>
            </w:pPr>
            <w:r>
              <w:rPr>
                <w:rFonts w:asciiTheme="majorBidi" w:hAnsiTheme="majorBidi" w:cstheme="majorBidi"/>
                <w:sz w:val="22"/>
                <w:szCs w:val="22"/>
              </w:rPr>
              <w:t>8</w:t>
            </w:r>
          </w:p>
        </w:tc>
        <w:tc>
          <w:tcPr>
            <w:tcW w:w="1979" w:type="dxa"/>
          </w:tcPr>
          <w:p>
            <w:pPr>
              <w:jc w:val="both"/>
              <w:rPr>
                <w:rFonts w:asciiTheme="majorBidi" w:hAnsiTheme="majorBidi" w:cstheme="majorBidi"/>
                <w:sz w:val="22"/>
                <w:szCs w:val="22"/>
              </w:rPr>
            </w:pPr>
            <w:r>
              <w:rPr>
                <w:rFonts w:asciiTheme="majorBidi" w:hAnsiTheme="majorBidi" w:cstheme="majorBidi"/>
                <w:sz w:val="22"/>
                <w:szCs w:val="22"/>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72" w:type="dxa"/>
          </w:tcPr>
          <w:p>
            <w:pPr>
              <w:jc w:val="both"/>
              <w:rPr>
                <w:rFonts w:asciiTheme="majorBidi" w:hAnsiTheme="majorBidi" w:cstheme="majorBidi"/>
                <w:sz w:val="22"/>
                <w:szCs w:val="22"/>
              </w:rPr>
            </w:pPr>
            <w:r>
              <w:rPr>
                <w:rFonts w:asciiTheme="majorBidi" w:hAnsiTheme="majorBidi" w:cstheme="majorBidi"/>
                <w:sz w:val="22"/>
                <w:szCs w:val="22"/>
              </w:rPr>
              <w:t>March</w:t>
            </w:r>
          </w:p>
        </w:tc>
        <w:tc>
          <w:tcPr>
            <w:tcW w:w="1559" w:type="dxa"/>
          </w:tcPr>
          <w:p>
            <w:pPr>
              <w:jc w:val="both"/>
              <w:rPr>
                <w:rFonts w:asciiTheme="majorBidi" w:hAnsiTheme="majorBidi" w:cstheme="majorBidi"/>
                <w:sz w:val="22"/>
                <w:szCs w:val="22"/>
              </w:rPr>
            </w:pPr>
            <w:r>
              <w:rPr>
                <w:rFonts w:asciiTheme="majorBidi" w:hAnsiTheme="majorBidi" w:cstheme="majorBidi"/>
                <w:sz w:val="22"/>
                <w:szCs w:val="22"/>
              </w:rPr>
              <w:t>20</w:t>
            </w:r>
          </w:p>
        </w:tc>
        <w:tc>
          <w:tcPr>
            <w:tcW w:w="1565" w:type="dxa"/>
          </w:tcPr>
          <w:p>
            <w:pPr>
              <w:jc w:val="both"/>
              <w:rPr>
                <w:rFonts w:asciiTheme="majorBidi" w:hAnsiTheme="majorBidi" w:cstheme="majorBidi"/>
                <w:sz w:val="22"/>
                <w:szCs w:val="22"/>
              </w:rPr>
            </w:pPr>
            <w:r>
              <w:rPr>
                <w:rFonts w:asciiTheme="majorBidi" w:hAnsiTheme="majorBidi" w:cstheme="majorBidi"/>
                <w:sz w:val="22"/>
                <w:szCs w:val="22"/>
              </w:rPr>
              <w:t>9</w:t>
            </w:r>
          </w:p>
        </w:tc>
        <w:tc>
          <w:tcPr>
            <w:tcW w:w="1979" w:type="dxa"/>
          </w:tcPr>
          <w:p>
            <w:pPr>
              <w:jc w:val="both"/>
              <w:rPr>
                <w:rFonts w:asciiTheme="majorBidi" w:hAnsiTheme="majorBidi" w:cstheme="majorBidi"/>
                <w:sz w:val="22"/>
                <w:szCs w:val="22"/>
              </w:rPr>
            </w:pPr>
            <w:r>
              <w:rPr>
                <w:rFonts w:asciiTheme="majorBidi" w:hAnsiTheme="majorBidi" w:cstheme="majorBidi"/>
                <w:sz w:val="22"/>
                <w:szCs w:val="22"/>
              </w:rPr>
              <w:t>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72" w:type="dxa"/>
          </w:tcPr>
          <w:p>
            <w:pPr>
              <w:jc w:val="both"/>
              <w:rPr>
                <w:rFonts w:asciiTheme="majorBidi" w:hAnsiTheme="majorBidi" w:cstheme="majorBidi"/>
                <w:sz w:val="22"/>
                <w:szCs w:val="22"/>
              </w:rPr>
            </w:pPr>
            <w:r>
              <w:rPr>
                <w:rFonts w:asciiTheme="majorBidi" w:hAnsiTheme="majorBidi" w:cstheme="majorBidi"/>
                <w:sz w:val="22"/>
                <w:szCs w:val="22"/>
              </w:rPr>
              <w:t>April</w:t>
            </w:r>
          </w:p>
        </w:tc>
        <w:tc>
          <w:tcPr>
            <w:tcW w:w="1559" w:type="dxa"/>
          </w:tcPr>
          <w:p>
            <w:pPr>
              <w:jc w:val="both"/>
              <w:rPr>
                <w:rFonts w:asciiTheme="majorBidi" w:hAnsiTheme="majorBidi" w:cstheme="majorBidi"/>
                <w:sz w:val="22"/>
                <w:szCs w:val="22"/>
              </w:rPr>
            </w:pPr>
            <w:r>
              <w:rPr>
                <w:rFonts w:asciiTheme="majorBidi" w:hAnsiTheme="majorBidi" w:cstheme="majorBidi"/>
                <w:sz w:val="22"/>
                <w:szCs w:val="22"/>
              </w:rPr>
              <w:t>22</w:t>
            </w:r>
          </w:p>
        </w:tc>
        <w:tc>
          <w:tcPr>
            <w:tcW w:w="1565" w:type="dxa"/>
          </w:tcPr>
          <w:p>
            <w:pPr>
              <w:jc w:val="both"/>
              <w:rPr>
                <w:rFonts w:asciiTheme="majorBidi" w:hAnsiTheme="majorBidi" w:cstheme="majorBidi"/>
                <w:sz w:val="22"/>
                <w:szCs w:val="22"/>
              </w:rPr>
            </w:pPr>
            <w:r>
              <w:rPr>
                <w:rFonts w:asciiTheme="majorBidi" w:hAnsiTheme="majorBidi" w:cstheme="majorBidi"/>
                <w:sz w:val="22"/>
                <w:szCs w:val="22"/>
              </w:rPr>
              <w:t>11</w:t>
            </w:r>
          </w:p>
        </w:tc>
        <w:tc>
          <w:tcPr>
            <w:tcW w:w="1979" w:type="dxa"/>
          </w:tcPr>
          <w:p>
            <w:pPr>
              <w:jc w:val="both"/>
              <w:rPr>
                <w:rFonts w:asciiTheme="majorBidi" w:hAnsiTheme="majorBidi" w:cstheme="majorBidi"/>
                <w:sz w:val="22"/>
                <w:szCs w:val="22"/>
              </w:rPr>
            </w:pPr>
            <w:r>
              <w:rPr>
                <w:rFonts w:asciiTheme="majorBidi" w:hAnsiTheme="majorBidi" w:cstheme="majorBidi"/>
                <w:sz w:val="22"/>
                <w:szCs w:val="22"/>
              </w:rPr>
              <w:t>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72" w:type="dxa"/>
          </w:tcPr>
          <w:p>
            <w:pPr>
              <w:jc w:val="both"/>
              <w:rPr>
                <w:rFonts w:asciiTheme="majorBidi" w:hAnsiTheme="majorBidi" w:cstheme="majorBidi"/>
                <w:sz w:val="22"/>
                <w:szCs w:val="22"/>
              </w:rPr>
            </w:pPr>
            <w:r>
              <w:rPr>
                <w:rFonts w:asciiTheme="majorBidi" w:hAnsiTheme="majorBidi" w:cstheme="majorBidi"/>
                <w:sz w:val="22"/>
                <w:szCs w:val="22"/>
              </w:rPr>
              <w:t>May</w:t>
            </w:r>
          </w:p>
        </w:tc>
        <w:tc>
          <w:tcPr>
            <w:tcW w:w="1559" w:type="dxa"/>
          </w:tcPr>
          <w:p>
            <w:pPr>
              <w:jc w:val="both"/>
              <w:rPr>
                <w:rFonts w:asciiTheme="majorBidi" w:hAnsiTheme="majorBidi" w:cstheme="majorBidi"/>
                <w:sz w:val="22"/>
                <w:szCs w:val="22"/>
              </w:rPr>
            </w:pPr>
            <w:r>
              <w:rPr>
                <w:rFonts w:asciiTheme="majorBidi" w:hAnsiTheme="majorBidi" w:cstheme="majorBidi"/>
                <w:sz w:val="22"/>
                <w:szCs w:val="22"/>
              </w:rPr>
              <w:t>26</w:t>
            </w:r>
          </w:p>
        </w:tc>
        <w:tc>
          <w:tcPr>
            <w:tcW w:w="1565" w:type="dxa"/>
          </w:tcPr>
          <w:p>
            <w:pPr>
              <w:jc w:val="both"/>
              <w:rPr>
                <w:rFonts w:asciiTheme="majorBidi" w:hAnsiTheme="majorBidi" w:cstheme="majorBidi"/>
                <w:sz w:val="22"/>
                <w:szCs w:val="22"/>
              </w:rPr>
            </w:pPr>
            <w:r>
              <w:rPr>
                <w:rFonts w:asciiTheme="majorBidi" w:hAnsiTheme="majorBidi" w:cstheme="majorBidi"/>
                <w:sz w:val="22"/>
                <w:szCs w:val="22"/>
              </w:rPr>
              <w:t>15</w:t>
            </w:r>
          </w:p>
        </w:tc>
        <w:tc>
          <w:tcPr>
            <w:tcW w:w="1979" w:type="dxa"/>
          </w:tcPr>
          <w:p>
            <w:pPr>
              <w:jc w:val="both"/>
              <w:rPr>
                <w:rFonts w:asciiTheme="majorBidi" w:hAnsiTheme="majorBidi" w:cstheme="majorBidi"/>
                <w:sz w:val="22"/>
                <w:szCs w:val="22"/>
              </w:rPr>
            </w:pPr>
            <w:r>
              <w:rPr>
                <w:rFonts w:asciiTheme="majorBidi" w:hAnsiTheme="majorBidi" w:cstheme="majorBidi"/>
                <w:sz w:val="22"/>
                <w:szCs w:val="22"/>
              </w:rPr>
              <w:t>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72" w:type="dxa"/>
          </w:tcPr>
          <w:p>
            <w:pPr>
              <w:jc w:val="both"/>
              <w:rPr>
                <w:rFonts w:asciiTheme="majorBidi" w:hAnsiTheme="majorBidi" w:cstheme="majorBidi"/>
                <w:sz w:val="22"/>
                <w:szCs w:val="22"/>
              </w:rPr>
            </w:pPr>
            <w:r>
              <w:rPr>
                <w:rFonts w:asciiTheme="majorBidi" w:hAnsiTheme="majorBidi" w:cstheme="majorBidi"/>
                <w:sz w:val="22"/>
                <w:szCs w:val="22"/>
              </w:rPr>
              <w:t xml:space="preserve">June </w:t>
            </w:r>
          </w:p>
        </w:tc>
        <w:tc>
          <w:tcPr>
            <w:tcW w:w="1559" w:type="dxa"/>
          </w:tcPr>
          <w:p>
            <w:pPr>
              <w:jc w:val="both"/>
              <w:rPr>
                <w:rFonts w:asciiTheme="majorBidi" w:hAnsiTheme="majorBidi" w:cstheme="majorBidi"/>
                <w:sz w:val="22"/>
                <w:szCs w:val="22"/>
              </w:rPr>
            </w:pPr>
            <w:r>
              <w:rPr>
                <w:rFonts w:asciiTheme="majorBidi" w:hAnsiTheme="majorBidi" w:cstheme="majorBidi"/>
                <w:sz w:val="22"/>
                <w:szCs w:val="22"/>
              </w:rPr>
              <w:t>31</w:t>
            </w:r>
          </w:p>
        </w:tc>
        <w:tc>
          <w:tcPr>
            <w:tcW w:w="1565" w:type="dxa"/>
          </w:tcPr>
          <w:p>
            <w:pPr>
              <w:jc w:val="both"/>
              <w:rPr>
                <w:rFonts w:asciiTheme="majorBidi" w:hAnsiTheme="majorBidi" w:cstheme="majorBidi"/>
                <w:sz w:val="22"/>
                <w:szCs w:val="22"/>
              </w:rPr>
            </w:pPr>
            <w:r>
              <w:rPr>
                <w:rFonts w:asciiTheme="majorBidi" w:hAnsiTheme="majorBidi" w:cstheme="majorBidi"/>
                <w:sz w:val="22"/>
                <w:szCs w:val="22"/>
              </w:rPr>
              <w:t>19</w:t>
            </w:r>
          </w:p>
        </w:tc>
        <w:tc>
          <w:tcPr>
            <w:tcW w:w="1979" w:type="dxa"/>
          </w:tcPr>
          <w:p>
            <w:pPr>
              <w:jc w:val="both"/>
              <w:rPr>
                <w:rFonts w:asciiTheme="majorBidi" w:hAnsiTheme="majorBidi" w:cstheme="majorBidi"/>
                <w:sz w:val="22"/>
                <w:szCs w:val="22"/>
              </w:rPr>
            </w:pPr>
            <w:r>
              <w:rPr>
                <w:rFonts w:asciiTheme="majorBidi" w:hAnsiTheme="majorBidi" w:cstheme="majorBidi"/>
                <w:sz w:val="22"/>
                <w:szCs w:val="22"/>
              </w:rPr>
              <w:t>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72" w:type="dxa"/>
          </w:tcPr>
          <w:p>
            <w:pPr>
              <w:jc w:val="both"/>
              <w:rPr>
                <w:rFonts w:asciiTheme="majorBidi" w:hAnsiTheme="majorBidi" w:cstheme="majorBidi"/>
                <w:sz w:val="22"/>
                <w:szCs w:val="22"/>
              </w:rPr>
            </w:pPr>
            <w:r>
              <w:rPr>
                <w:rFonts w:asciiTheme="majorBidi" w:hAnsiTheme="majorBidi" w:cstheme="majorBidi"/>
                <w:sz w:val="22"/>
                <w:szCs w:val="22"/>
              </w:rPr>
              <w:t>July</w:t>
            </w:r>
          </w:p>
        </w:tc>
        <w:tc>
          <w:tcPr>
            <w:tcW w:w="1559" w:type="dxa"/>
          </w:tcPr>
          <w:p>
            <w:pPr>
              <w:jc w:val="both"/>
              <w:rPr>
                <w:rFonts w:asciiTheme="majorBidi" w:hAnsiTheme="majorBidi" w:cstheme="majorBidi"/>
                <w:sz w:val="22"/>
                <w:szCs w:val="22"/>
              </w:rPr>
            </w:pPr>
            <w:r>
              <w:rPr>
                <w:rFonts w:asciiTheme="majorBidi" w:hAnsiTheme="majorBidi" w:cstheme="majorBidi"/>
                <w:sz w:val="22"/>
                <w:szCs w:val="22"/>
              </w:rPr>
              <w:t>34</w:t>
            </w:r>
          </w:p>
        </w:tc>
        <w:tc>
          <w:tcPr>
            <w:tcW w:w="1565" w:type="dxa"/>
          </w:tcPr>
          <w:p>
            <w:pPr>
              <w:jc w:val="both"/>
              <w:rPr>
                <w:rFonts w:asciiTheme="majorBidi" w:hAnsiTheme="majorBidi" w:cstheme="majorBidi"/>
                <w:sz w:val="22"/>
                <w:szCs w:val="22"/>
              </w:rPr>
            </w:pPr>
            <w:r>
              <w:rPr>
                <w:rFonts w:asciiTheme="majorBidi" w:hAnsiTheme="majorBidi" w:cstheme="majorBidi"/>
                <w:sz w:val="22"/>
                <w:szCs w:val="22"/>
              </w:rPr>
              <w:t>22</w:t>
            </w:r>
          </w:p>
        </w:tc>
        <w:tc>
          <w:tcPr>
            <w:tcW w:w="1979" w:type="dxa"/>
          </w:tcPr>
          <w:p>
            <w:pPr>
              <w:jc w:val="both"/>
              <w:rPr>
                <w:rFonts w:asciiTheme="majorBidi" w:hAnsiTheme="majorBidi" w:cstheme="majorBidi"/>
                <w:sz w:val="22"/>
                <w:szCs w:val="22"/>
              </w:rPr>
            </w:pPr>
            <w:r>
              <w:rPr>
                <w:rFonts w:asciiTheme="majorBidi" w:hAnsiTheme="majorBidi" w:cstheme="majorBidi"/>
                <w:sz w:val="22"/>
                <w:szCs w:val="22"/>
              </w:rPr>
              <w:t>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72" w:type="dxa"/>
          </w:tcPr>
          <w:p>
            <w:pPr>
              <w:jc w:val="both"/>
              <w:rPr>
                <w:rFonts w:asciiTheme="majorBidi" w:hAnsiTheme="majorBidi" w:cstheme="majorBidi"/>
                <w:sz w:val="22"/>
                <w:szCs w:val="22"/>
              </w:rPr>
            </w:pPr>
            <w:r>
              <w:rPr>
                <w:rFonts w:asciiTheme="majorBidi" w:hAnsiTheme="majorBidi" w:cstheme="majorBidi"/>
                <w:sz w:val="22"/>
                <w:szCs w:val="22"/>
              </w:rPr>
              <w:t>August</w:t>
            </w:r>
          </w:p>
        </w:tc>
        <w:tc>
          <w:tcPr>
            <w:tcW w:w="1559" w:type="dxa"/>
          </w:tcPr>
          <w:p>
            <w:pPr>
              <w:jc w:val="both"/>
              <w:rPr>
                <w:rFonts w:asciiTheme="majorBidi" w:hAnsiTheme="majorBidi" w:cstheme="majorBidi"/>
                <w:sz w:val="22"/>
                <w:szCs w:val="22"/>
              </w:rPr>
            </w:pPr>
            <w:r>
              <w:rPr>
                <w:rFonts w:asciiTheme="majorBidi" w:hAnsiTheme="majorBidi" w:cstheme="majorBidi"/>
                <w:sz w:val="22"/>
                <w:szCs w:val="22"/>
              </w:rPr>
              <w:t>34</w:t>
            </w:r>
          </w:p>
        </w:tc>
        <w:tc>
          <w:tcPr>
            <w:tcW w:w="1565" w:type="dxa"/>
          </w:tcPr>
          <w:p>
            <w:pPr>
              <w:jc w:val="both"/>
              <w:rPr>
                <w:rFonts w:asciiTheme="majorBidi" w:hAnsiTheme="majorBidi" w:cstheme="majorBidi"/>
                <w:sz w:val="22"/>
                <w:szCs w:val="22"/>
              </w:rPr>
            </w:pPr>
            <w:r>
              <w:rPr>
                <w:rFonts w:asciiTheme="majorBidi" w:hAnsiTheme="majorBidi" w:cstheme="majorBidi"/>
                <w:sz w:val="22"/>
                <w:szCs w:val="22"/>
              </w:rPr>
              <w:t>22</w:t>
            </w:r>
          </w:p>
        </w:tc>
        <w:tc>
          <w:tcPr>
            <w:tcW w:w="1979" w:type="dxa"/>
          </w:tcPr>
          <w:p>
            <w:pPr>
              <w:jc w:val="both"/>
              <w:rPr>
                <w:rFonts w:asciiTheme="majorBidi" w:hAnsiTheme="majorBidi" w:cstheme="majorBidi"/>
                <w:sz w:val="22"/>
                <w:szCs w:val="22"/>
              </w:rPr>
            </w:pPr>
            <w:r>
              <w:rPr>
                <w:rFonts w:asciiTheme="majorBidi" w:hAnsiTheme="majorBidi" w:cstheme="majorBidi"/>
                <w:sz w:val="22"/>
                <w:szCs w:val="22"/>
              </w:rPr>
              <w:t>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72" w:type="dxa"/>
          </w:tcPr>
          <w:p>
            <w:pPr>
              <w:jc w:val="both"/>
              <w:rPr>
                <w:rFonts w:asciiTheme="majorBidi" w:hAnsiTheme="majorBidi" w:cstheme="majorBidi"/>
                <w:sz w:val="22"/>
                <w:szCs w:val="22"/>
              </w:rPr>
            </w:pPr>
            <w:r>
              <w:rPr>
                <w:rFonts w:asciiTheme="majorBidi" w:hAnsiTheme="majorBidi" w:cstheme="majorBidi"/>
                <w:sz w:val="22"/>
                <w:szCs w:val="22"/>
              </w:rPr>
              <w:t>September</w:t>
            </w:r>
          </w:p>
        </w:tc>
        <w:tc>
          <w:tcPr>
            <w:tcW w:w="1559" w:type="dxa"/>
          </w:tcPr>
          <w:p>
            <w:pPr>
              <w:jc w:val="both"/>
              <w:rPr>
                <w:rFonts w:asciiTheme="majorBidi" w:hAnsiTheme="majorBidi" w:cstheme="majorBidi"/>
                <w:sz w:val="22"/>
                <w:szCs w:val="22"/>
              </w:rPr>
            </w:pPr>
            <w:r>
              <w:rPr>
                <w:rFonts w:asciiTheme="majorBidi" w:hAnsiTheme="majorBidi" w:cstheme="majorBidi"/>
                <w:sz w:val="22"/>
                <w:szCs w:val="22"/>
              </w:rPr>
              <w:t>31</w:t>
            </w:r>
          </w:p>
        </w:tc>
        <w:tc>
          <w:tcPr>
            <w:tcW w:w="1565" w:type="dxa"/>
          </w:tcPr>
          <w:p>
            <w:pPr>
              <w:jc w:val="both"/>
              <w:rPr>
                <w:rFonts w:asciiTheme="majorBidi" w:hAnsiTheme="majorBidi" w:cstheme="majorBidi"/>
                <w:sz w:val="22"/>
                <w:szCs w:val="22"/>
              </w:rPr>
            </w:pPr>
            <w:r>
              <w:rPr>
                <w:rFonts w:asciiTheme="majorBidi" w:hAnsiTheme="majorBidi" w:cstheme="majorBidi"/>
                <w:sz w:val="22"/>
                <w:szCs w:val="22"/>
              </w:rPr>
              <w:t>20</w:t>
            </w:r>
          </w:p>
        </w:tc>
        <w:tc>
          <w:tcPr>
            <w:tcW w:w="1979" w:type="dxa"/>
          </w:tcPr>
          <w:p>
            <w:pPr>
              <w:jc w:val="both"/>
              <w:rPr>
                <w:rFonts w:asciiTheme="majorBidi" w:hAnsiTheme="majorBidi" w:cstheme="majorBidi"/>
                <w:sz w:val="22"/>
                <w:szCs w:val="22"/>
              </w:rPr>
            </w:pPr>
            <w:r>
              <w:rPr>
                <w:rFonts w:asciiTheme="majorBidi" w:hAnsiTheme="majorBidi" w:cstheme="majorBidi"/>
                <w:sz w:val="22"/>
                <w:szCs w:val="22"/>
              </w:rPr>
              <w:t>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72" w:type="dxa"/>
          </w:tcPr>
          <w:p>
            <w:pPr>
              <w:jc w:val="both"/>
              <w:rPr>
                <w:rFonts w:asciiTheme="majorBidi" w:hAnsiTheme="majorBidi" w:cstheme="majorBidi"/>
                <w:sz w:val="22"/>
                <w:szCs w:val="22"/>
              </w:rPr>
            </w:pPr>
            <w:r>
              <w:rPr>
                <w:rFonts w:asciiTheme="majorBidi" w:hAnsiTheme="majorBidi" w:cstheme="majorBidi"/>
                <w:sz w:val="22"/>
                <w:szCs w:val="22"/>
              </w:rPr>
              <w:t>October</w:t>
            </w:r>
          </w:p>
        </w:tc>
        <w:tc>
          <w:tcPr>
            <w:tcW w:w="1559" w:type="dxa"/>
          </w:tcPr>
          <w:p>
            <w:pPr>
              <w:jc w:val="both"/>
              <w:rPr>
                <w:rFonts w:asciiTheme="majorBidi" w:hAnsiTheme="majorBidi" w:cstheme="majorBidi"/>
                <w:sz w:val="22"/>
                <w:szCs w:val="22"/>
              </w:rPr>
            </w:pPr>
            <w:r>
              <w:rPr>
                <w:rFonts w:asciiTheme="majorBidi" w:hAnsiTheme="majorBidi" w:cstheme="majorBidi"/>
                <w:sz w:val="22"/>
                <w:szCs w:val="22"/>
              </w:rPr>
              <w:t>27</w:t>
            </w:r>
          </w:p>
        </w:tc>
        <w:tc>
          <w:tcPr>
            <w:tcW w:w="1565" w:type="dxa"/>
          </w:tcPr>
          <w:p>
            <w:pPr>
              <w:jc w:val="both"/>
              <w:rPr>
                <w:rFonts w:asciiTheme="majorBidi" w:hAnsiTheme="majorBidi" w:cstheme="majorBidi"/>
                <w:sz w:val="22"/>
                <w:szCs w:val="22"/>
              </w:rPr>
            </w:pPr>
            <w:r>
              <w:rPr>
                <w:rFonts w:asciiTheme="majorBidi" w:hAnsiTheme="majorBidi" w:cstheme="majorBidi"/>
                <w:sz w:val="22"/>
                <w:szCs w:val="22"/>
              </w:rPr>
              <w:t>17</w:t>
            </w:r>
          </w:p>
        </w:tc>
        <w:tc>
          <w:tcPr>
            <w:tcW w:w="1979" w:type="dxa"/>
          </w:tcPr>
          <w:p>
            <w:pPr>
              <w:jc w:val="both"/>
              <w:rPr>
                <w:rFonts w:asciiTheme="majorBidi" w:hAnsiTheme="majorBidi" w:cstheme="majorBidi"/>
                <w:sz w:val="22"/>
                <w:szCs w:val="22"/>
              </w:rPr>
            </w:pPr>
            <w:r>
              <w:rPr>
                <w:rFonts w:asciiTheme="majorBidi" w:hAnsiTheme="majorBidi" w:cstheme="majorBidi"/>
                <w:sz w:val="22"/>
                <w:szCs w:val="22"/>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72" w:type="dxa"/>
          </w:tcPr>
          <w:p>
            <w:pPr>
              <w:jc w:val="both"/>
              <w:rPr>
                <w:rFonts w:asciiTheme="majorBidi" w:hAnsiTheme="majorBidi" w:cstheme="majorBidi"/>
                <w:sz w:val="22"/>
                <w:szCs w:val="22"/>
              </w:rPr>
            </w:pPr>
            <w:r>
              <w:rPr>
                <w:rFonts w:asciiTheme="majorBidi" w:hAnsiTheme="majorBidi" w:cstheme="majorBidi"/>
                <w:sz w:val="22"/>
                <w:szCs w:val="22"/>
              </w:rPr>
              <w:t>November</w:t>
            </w:r>
          </w:p>
        </w:tc>
        <w:tc>
          <w:tcPr>
            <w:tcW w:w="1559" w:type="dxa"/>
          </w:tcPr>
          <w:p>
            <w:pPr>
              <w:jc w:val="both"/>
              <w:rPr>
                <w:rFonts w:asciiTheme="majorBidi" w:hAnsiTheme="majorBidi" w:cstheme="majorBidi"/>
                <w:sz w:val="22"/>
                <w:szCs w:val="22"/>
              </w:rPr>
            </w:pPr>
            <w:r>
              <w:rPr>
                <w:rFonts w:asciiTheme="majorBidi" w:hAnsiTheme="majorBidi" w:cstheme="majorBidi"/>
                <w:sz w:val="22"/>
                <w:szCs w:val="22"/>
              </w:rPr>
              <w:t>21</w:t>
            </w:r>
          </w:p>
        </w:tc>
        <w:tc>
          <w:tcPr>
            <w:tcW w:w="1565" w:type="dxa"/>
          </w:tcPr>
          <w:p>
            <w:pPr>
              <w:jc w:val="both"/>
              <w:rPr>
                <w:rFonts w:asciiTheme="majorBidi" w:hAnsiTheme="majorBidi" w:cstheme="majorBidi"/>
                <w:sz w:val="22"/>
                <w:szCs w:val="22"/>
              </w:rPr>
            </w:pPr>
            <w:r>
              <w:rPr>
                <w:rFonts w:asciiTheme="majorBidi" w:hAnsiTheme="majorBidi" w:cstheme="majorBidi"/>
                <w:sz w:val="22"/>
                <w:szCs w:val="22"/>
              </w:rPr>
              <w:t>12</w:t>
            </w:r>
          </w:p>
        </w:tc>
        <w:tc>
          <w:tcPr>
            <w:tcW w:w="1979" w:type="dxa"/>
          </w:tcPr>
          <w:p>
            <w:pPr>
              <w:jc w:val="both"/>
              <w:rPr>
                <w:rFonts w:asciiTheme="majorBidi" w:hAnsiTheme="majorBidi" w:cstheme="majorBidi"/>
                <w:sz w:val="22"/>
                <w:szCs w:val="22"/>
              </w:rPr>
            </w:pPr>
            <w:r>
              <w:rPr>
                <w:rFonts w:asciiTheme="majorBidi" w:hAnsiTheme="majorBidi" w:cstheme="majorBidi"/>
                <w:sz w:val="22"/>
                <w:szCs w:val="22"/>
              </w:rPr>
              <w:t>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72" w:type="dxa"/>
          </w:tcPr>
          <w:p>
            <w:pPr>
              <w:jc w:val="both"/>
              <w:rPr>
                <w:rFonts w:asciiTheme="majorBidi" w:hAnsiTheme="majorBidi" w:cstheme="majorBidi"/>
                <w:sz w:val="22"/>
                <w:szCs w:val="22"/>
              </w:rPr>
            </w:pPr>
            <w:r>
              <w:rPr>
                <w:rFonts w:asciiTheme="majorBidi" w:hAnsiTheme="majorBidi" w:cstheme="majorBidi"/>
                <w:sz w:val="22"/>
                <w:szCs w:val="22"/>
              </w:rPr>
              <w:t>December</w:t>
            </w:r>
          </w:p>
        </w:tc>
        <w:tc>
          <w:tcPr>
            <w:tcW w:w="1559" w:type="dxa"/>
          </w:tcPr>
          <w:p>
            <w:pPr>
              <w:jc w:val="both"/>
              <w:rPr>
                <w:rFonts w:asciiTheme="majorBidi" w:hAnsiTheme="majorBidi" w:cstheme="majorBidi"/>
                <w:sz w:val="22"/>
                <w:szCs w:val="22"/>
              </w:rPr>
            </w:pPr>
            <w:r>
              <w:rPr>
                <w:rFonts w:asciiTheme="majorBidi" w:hAnsiTheme="majorBidi" w:cstheme="majorBidi"/>
                <w:sz w:val="22"/>
                <w:szCs w:val="22"/>
              </w:rPr>
              <w:t>17</w:t>
            </w:r>
          </w:p>
        </w:tc>
        <w:tc>
          <w:tcPr>
            <w:tcW w:w="1565" w:type="dxa"/>
          </w:tcPr>
          <w:p>
            <w:pPr>
              <w:jc w:val="both"/>
              <w:rPr>
                <w:rFonts w:asciiTheme="majorBidi" w:hAnsiTheme="majorBidi" w:cstheme="majorBidi"/>
                <w:sz w:val="22"/>
                <w:szCs w:val="22"/>
              </w:rPr>
            </w:pPr>
            <w:r>
              <w:rPr>
                <w:rFonts w:asciiTheme="majorBidi" w:hAnsiTheme="majorBidi" w:cstheme="majorBidi"/>
                <w:sz w:val="22"/>
                <w:szCs w:val="22"/>
              </w:rPr>
              <w:t>9</w:t>
            </w:r>
          </w:p>
        </w:tc>
        <w:tc>
          <w:tcPr>
            <w:tcW w:w="1979" w:type="dxa"/>
          </w:tcPr>
          <w:p>
            <w:pPr>
              <w:jc w:val="both"/>
              <w:rPr>
                <w:rFonts w:asciiTheme="majorBidi" w:hAnsiTheme="majorBidi" w:cstheme="majorBidi"/>
                <w:sz w:val="22"/>
                <w:szCs w:val="22"/>
              </w:rPr>
            </w:pPr>
            <w:r>
              <w:rPr>
                <w:rFonts w:asciiTheme="majorBidi" w:hAnsiTheme="majorBidi" w:cstheme="majorBidi"/>
                <w:sz w:val="22"/>
                <w:szCs w:val="22"/>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72" w:type="dxa"/>
          </w:tcPr>
          <w:p>
            <w:pPr>
              <w:jc w:val="both"/>
              <w:rPr>
                <w:rFonts w:asciiTheme="majorBidi" w:hAnsiTheme="majorBidi" w:cstheme="majorBidi"/>
                <w:sz w:val="22"/>
                <w:szCs w:val="22"/>
              </w:rPr>
            </w:pPr>
            <w:r>
              <w:rPr>
                <w:rFonts w:asciiTheme="majorBidi" w:hAnsiTheme="majorBidi" w:cstheme="majorBidi"/>
                <w:sz w:val="22"/>
                <w:szCs w:val="22"/>
              </w:rPr>
              <w:t>Average</w:t>
            </w:r>
          </w:p>
        </w:tc>
        <w:tc>
          <w:tcPr>
            <w:tcW w:w="1559" w:type="dxa"/>
          </w:tcPr>
          <w:p>
            <w:pPr>
              <w:jc w:val="both"/>
              <w:rPr>
                <w:rFonts w:asciiTheme="majorBidi" w:hAnsiTheme="majorBidi" w:cstheme="majorBidi"/>
                <w:sz w:val="22"/>
                <w:szCs w:val="22"/>
              </w:rPr>
            </w:pPr>
            <w:r>
              <w:rPr>
                <w:rFonts w:asciiTheme="majorBidi" w:hAnsiTheme="majorBidi" w:cstheme="majorBidi"/>
                <w:sz w:val="22"/>
                <w:szCs w:val="22"/>
              </w:rPr>
              <w:t>24.6</w:t>
            </w:r>
          </w:p>
        </w:tc>
        <w:tc>
          <w:tcPr>
            <w:tcW w:w="1565" w:type="dxa"/>
          </w:tcPr>
          <w:p>
            <w:pPr>
              <w:jc w:val="both"/>
              <w:rPr>
                <w:rFonts w:asciiTheme="majorBidi" w:hAnsiTheme="majorBidi" w:cstheme="majorBidi"/>
                <w:sz w:val="22"/>
                <w:szCs w:val="22"/>
              </w:rPr>
            </w:pPr>
            <w:r>
              <w:rPr>
                <w:rFonts w:asciiTheme="majorBidi" w:hAnsiTheme="majorBidi" w:cstheme="majorBidi"/>
                <w:sz w:val="22"/>
                <w:szCs w:val="22"/>
              </w:rPr>
              <w:t>14.3</w:t>
            </w:r>
          </w:p>
        </w:tc>
        <w:tc>
          <w:tcPr>
            <w:tcW w:w="1979" w:type="dxa"/>
          </w:tcPr>
          <w:p>
            <w:pPr>
              <w:jc w:val="both"/>
              <w:rPr>
                <w:rFonts w:asciiTheme="majorBidi" w:hAnsiTheme="majorBidi" w:cstheme="majorBidi"/>
                <w:sz w:val="22"/>
                <w:szCs w:val="22"/>
              </w:rPr>
            </w:pPr>
            <w:r>
              <w:rPr>
                <w:rFonts w:asciiTheme="majorBidi" w:hAnsiTheme="majorBidi" w:cstheme="majorBidi"/>
                <w:sz w:val="22"/>
                <w:szCs w:val="22"/>
              </w:rPr>
              <w:t>5.1</w:t>
            </w:r>
          </w:p>
        </w:tc>
      </w:tr>
    </w:tbl>
    <w:p>
      <w:pPr>
        <w:spacing w:line="360" w:lineRule="auto"/>
        <w:jc w:val="both"/>
      </w:pPr>
    </w:p>
    <w:p>
      <w:pPr>
        <w:spacing w:line="360" w:lineRule="auto"/>
        <w:jc w:val="both"/>
      </w:pPr>
      <w:r>
        <w:t>The building can be described as follows :</w:t>
      </w:r>
    </w:p>
    <w:p>
      <w:pPr>
        <w:pStyle w:val="21"/>
        <w:numPr>
          <w:ilvl w:val="0"/>
          <w:numId w:val="6"/>
        </w:numPr>
        <w:spacing w:line="360" w:lineRule="auto"/>
        <w:jc w:val="both"/>
      </w:pPr>
      <w:r>
        <w:t>The floor area is 80 m² for a volume of 240 m</w:t>
      </w:r>
      <w:r>
        <w:rPr>
          <w:vertAlign w:val="superscript"/>
        </w:rPr>
        <w:t>3</w:t>
      </w:r>
      <w:r>
        <w:t>. The ceiling height is 3.00 m. It consists of two rooms, living room, kitchen, toilet and hall. The entrance to the building faces north as shown in Figure 1(b).</w:t>
      </w:r>
    </w:p>
    <w:p>
      <w:pPr>
        <w:pStyle w:val="21"/>
        <w:numPr>
          <w:ilvl w:val="0"/>
          <w:numId w:val="6"/>
        </w:numPr>
        <w:spacing w:line="360" w:lineRule="auto"/>
        <w:jc w:val="both"/>
      </w:pPr>
      <w:r>
        <w:t xml:space="preserve">Glazed surfaces represent 10% of the floor surface (which represents approximately 6.67% glazed surface per facade). Single-glazed windows have a </w:t>
      </w:r>
      <w:bookmarkStart w:id="0" w:name="_Hlk97074187"/>
      <w:r>
        <w:t xml:space="preserve">heat transfert coefficient U </w:t>
      </w:r>
      <w:bookmarkEnd w:id="0"/>
      <w:r>
        <w:t>= 6.32 W⁄m².K and a solar factor g = 0.85</w:t>
      </w:r>
      <w:r>
        <w:rPr>
          <w:vertAlign w:val="superscript"/>
        </w:rPr>
        <w:t>[13]</w:t>
      </w:r>
      <w:r>
        <w:t xml:space="preserve">. </w:t>
      </w:r>
    </w:p>
    <w:p>
      <w:pPr>
        <w:pStyle w:val="21"/>
        <w:numPr>
          <w:ilvl w:val="0"/>
          <w:numId w:val="6"/>
        </w:numPr>
        <w:spacing w:line="360" w:lineRule="auto"/>
        <w:jc w:val="both"/>
      </w:pPr>
      <w:r>
        <w:t>Number of occupants is 5 persons.</w:t>
      </w:r>
    </w:p>
    <w:p>
      <w:pPr>
        <w:pStyle w:val="21"/>
        <w:numPr>
          <w:ilvl w:val="0"/>
          <w:numId w:val="6"/>
        </w:numPr>
        <w:spacing w:line="360" w:lineRule="auto"/>
        <w:jc w:val="both"/>
      </w:pPr>
      <w:r>
        <w:t>The building is a rectangular shape with overall heat transfer coefficient (U) of 1.57W/m².K and 1.85W/m².K for external wall and internal wal, respectively.</w:t>
      </w:r>
    </w:p>
    <w:p>
      <w:pPr>
        <w:pStyle w:val="21"/>
        <w:numPr>
          <w:ilvl w:val="0"/>
          <w:numId w:val="6"/>
        </w:numPr>
        <w:spacing w:line="360" w:lineRule="auto"/>
        <w:jc w:val="both"/>
      </w:pPr>
      <w:r>
        <w:t>Comfort temperatures for heating and cooling are 24 °C and 20 °C respectively where the relative humidity is set 50% for cooling and 30% for heating.</w:t>
      </w:r>
    </w:p>
    <w:p>
      <w:pPr>
        <w:spacing w:line="360" w:lineRule="auto"/>
        <w:jc w:val="center"/>
      </w:pPr>
      <w:r>
        <w:rPr>
          <w:lang w:eastAsia="fr-FR" w:bidi="ar-SA"/>
        </w:rPr>
        <w:drawing>
          <wp:inline distT="0" distB="0" distL="0" distR="0">
            <wp:extent cx="2618740" cy="2026285"/>
            <wp:effectExtent l="0" t="0" r="0" b="0"/>
            <wp:docPr id="12" name="Image 12" descr="Une image contenant car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descr="Une image contenant carte&#10;&#10;Description générée automatiquemen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618740" cy="2026285"/>
                    </a:xfrm>
                    <a:prstGeom prst="rect">
                      <a:avLst/>
                    </a:prstGeom>
                    <a:noFill/>
                    <a:ln>
                      <a:noFill/>
                    </a:ln>
                  </pic:spPr>
                </pic:pic>
              </a:graphicData>
            </a:graphic>
          </wp:inline>
        </w:drawing>
      </w:r>
      <w:r>
        <w:t xml:space="preserve"> </w:t>
      </w:r>
      <w:r>
        <w:rPr>
          <w:lang w:eastAsia="fr-FR" w:bidi="ar-SA"/>
        </w:rPr>
        <w:drawing>
          <wp:inline distT="0" distB="0" distL="0" distR="0">
            <wp:extent cx="2711450" cy="2592070"/>
            <wp:effectExtent l="0" t="0" r="825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711450" cy="2592070"/>
                    </a:xfrm>
                    <a:prstGeom prst="rect">
                      <a:avLst/>
                    </a:prstGeom>
                    <a:noFill/>
                    <a:ln>
                      <a:noFill/>
                    </a:ln>
                  </pic:spPr>
                </pic:pic>
              </a:graphicData>
            </a:graphic>
          </wp:inline>
        </w:drawing>
      </w:r>
    </w:p>
    <w:p>
      <w:pPr>
        <w:jc w:val="center"/>
        <w:rPr>
          <w:b/>
          <w:bCs/>
          <w:sz w:val="20"/>
          <w:szCs w:val="20"/>
        </w:rPr>
      </w:pPr>
      <w:r>
        <w:rPr>
          <w:b/>
          <w:bCs/>
          <w:sz w:val="20"/>
          <w:szCs w:val="20"/>
        </w:rPr>
        <w:t>Fig. 1: (a) : Topographic map of Tunisia showing the location of Tunis. (b) : Plan and orientation of the building located in the region of Tunis</w:t>
      </w:r>
    </w:p>
    <w:p>
      <w:pPr>
        <w:spacing w:line="360" w:lineRule="auto"/>
        <w:jc w:val="both"/>
      </w:pPr>
    </w:p>
    <w:p>
      <w:pPr>
        <w:spacing w:line="360" w:lineRule="auto"/>
        <w:jc w:val="both"/>
      </w:pPr>
      <w:r>
        <w:t>The thermal performance of windows is evaluated mainly using the heat transfert coefficient U and the solar factor g. The combination of these characteristics makes it possible to obtain very interesting performances to minimize heating costs in winter and cooling costs in summer. In addition, the installation of mobile solar protection and closures acts on summer comfort and winter comfort. U-value translates the capacity of the window to maintain the interior temperature. The lower U, the more the window is insulating.</w:t>
      </w:r>
    </w:p>
    <w:p>
      <w:pPr>
        <w:spacing w:line="360" w:lineRule="auto"/>
        <w:jc w:val="both"/>
      </w:pPr>
      <w:r>
        <w:t>The solar factor reflects the ability of the window to transmit the heat of the sun. It is the ratio between the total energy transmitted through the bay, and the incident solar energy. The higher the solar factor, the greater the transmitted heat gains. In winter, this will help minimize heating consumption through free solar gain. In summer, on the contrary, the solar factor should be low, in order to limit the entry of heat through the windows, thus limiting the interior temperature.</w:t>
      </w:r>
    </w:p>
    <w:p>
      <w:pPr>
        <w:spacing w:line="360" w:lineRule="auto"/>
        <w:jc w:val="both"/>
      </w:pPr>
      <w:r>
        <w:t>The heat transfert coefficient U of a wall expresses the intensity of the heat flux which crosses a square meter of wall for a temperature difference of one degree between the inside and the outside. The lower this coefficient, the more the wall performs thermally.</w:t>
      </w:r>
      <w:bookmarkStart w:id="1" w:name="_Hlk96589435"/>
      <w:r>
        <w:t xml:space="preserve"> The heat transfer coefficient </w:t>
      </w:r>
      <w:bookmarkEnd w:id="1"/>
      <w:r>
        <w:t xml:space="preserve">of a wall was calculated </w:t>
      </w:r>
      <w:bookmarkStart w:id="2" w:name="_Hlk96338769"/>
      <w:r>
        <w:t>using the following formula (Eq. 1) :</w:t>
      </w:r>
    </w:p>
    <w:p>
      <w:pPr>
        <w:shd w:val="clear" w:color="auto" w:fill="FFFFFF"/>
        <w:spacing w:line="276" w:lineRule="auto"/>
        <w:jc w:val="both"/>
      </w:pPr>
    </w:p>
    <w:p>
      <w:pPr>
        <w:widowControl/>
        <w:suppressAutoHyphens w:val="0"/>
        <w:autoSpaceDN/>
        <w:spacing w:after="160" w:line="259" w:lineRule="auto"/>
        <w:jc w:val="center"/>
        <w:textAlignment w:val="auto"/>
        <w:rPr>
          <w:rFonts w:asciiTheme="majorBidi" w:hAnsiTheme="majorBidi" w:eastAsiaTheme="minorHAnsi" w:cstheme="majorBidi"/>
          <w:kern w:val="0"/>
          <w:sz w:val="28"/>
          <w:szCs w:val="28"/>
          <w:lang w:val="en-US" w:eastAsia="en-US" w:bidi="ar-SA"/>
        </w:rPr>
      </w:pPr>
      <w:r>
        <w:rPr>
          <w:rFonts w:asciiTheme="minorHAnsi" w:hAnsiTheme="minorHAnsi" w:eastAsiaTheme="minorHAnsi" w:cstheme="minorBidi"/>
          <w:kern w:val="0"/>
          <w:position w:val="-64"/>
          <w:sz w:val="22"/>
          <w:szCs w:val="22"/>
          <w:lang w:eastAsia="en-US" w:bidi="ar-SA"/>
        </w:rPr>
        <w:object>
          <v:shape id="_x0000_i1025" o:spt="75" type="#_x0000_t75" style="height:51.95pt;width:105.8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r>
        <w:rPr>
          <w:rFonts w:asciiTheme="minorHAnsi" w:hAnsiTheme="minorHAnsi" w:eastAsiaTheme="minorHAnsi" w:cstheme="minorBidi"/>
          <w:kern w:val="0"/>
          <w:sz w:val="22"/>
          <w:szCs w:val="22"/>
          <w:lang w:eastAsia="en-US" w:bidi="ar-SA"/>
        </w:rPr>
        <w:t xml:space="preserve">          </w:t>
      </w:r>
      <w:r>
        <w:rPr>
          <w:rFonts w:asciiTheme="majorBidi" w:hAnsiTheme="majorBidi" w:eastAsiaTheme="minorHAnsi" w:cstheme="majorBidi"/>
          <w:kern w:val="0"/>
          <w:lang w:val="en-US" w:eastAsia="en-US" w:bidi="ar-SA"/>
        </w:rPr>
        <w:t>(1)</w:t>
      </w:r>
    </w:p>
    <w:p>
      <w:pPr>
        <w:shd w:val="clear" w:color="auto" w:fill="FFFFFF"/>
        <w:spacing w:line="276" w:lineRule="auto"/>
        <w:jc w:val="both"/>
      </w:pPr>
      <w:r>
        <w:t>Where U: the heat transfer coefficient (W/m².K), R</w:t>
      </w:r>
      <w:r>
        <w:rPr>
          <w:vertAlign w:val="subscript"/>
        </w:rPr>
        <w:t>si</w:t>
      </w:r>
      <w:r>
        <w:t> : the internal surface thermal resistance (m².K/W),  R</w:t>
      </w:r>
      <w:r>
        <w:rPr>
          <w:vertAlign w:val="subscript"/>
        </w:rPr>
        <w:t>se</w:t>
      </w:r>
      <w:r>
        <w:t> : the external surface thermal resistance (m².K/W), e</w:t>
      </w:r>
      <w:r>
        <w:rPr>
          <w:vertAlign w:val="subscript"/>
        </w:rPr>
        <w:t>i</w:t>
      </w:r>
      <w:r>
        <w:t xml:space="preserve"> : thickness of the layer of the corresponding material (m), </w:t>
      </w:r>
      <w:r>
        <w:rPr>
          <w:rFonts w:cs="Times New Roman"/>
        </w:rPr>
        <w:t>λ </w:t>
      </w:r>
      <w:r>
        <w:t>: thermal conductivity of of the corresponding material, (W/m.K).</w:t>
      </w:r>
    </w:p>
    <w:p>
      <w:pPr>
        <w:shd w:val="clear" w:color="auto" w:fill="FFFFFF"/>
        <w:spacing w:line="276" w:lineRule="auto"/>
        <w:jc w:val="both"/>
      </w:pPr>
    </w:p>
    <w:bookmarkEnd w:id="2"/>
    <w:p>
      <w:pPr>
        <w:spacing w:line="360" w:lineRule="auto"/>
        <w:jc w:val="both"/>
      </w:pPr>
      <w:r>
        <w:t xml:space="preserve">The </w:t>
      </w:r>
      <w:bookmarkStart w:id="3" w:name="_Hlk96505832"/>
      <w:r>
        <w:t xml:space="preserve">dimensions of the different parts of the building </w:t>
      </w:r>
      <w:bookmarkEnd w:id="3"/>
      <w:r>
        <w:t>are given in Table 2.</w:t>
      </w:r>
    </w:p>
    <w:p>
      <w:pPr>
        <w:jc w:val="center"/>
        <w:rPr>
          <w:b/>
          <w:bCs/>
          <w:sz w:val="20"/>
          <w:szCs w:val="20"/>
        </w:rPr>
      </w:pPr>
      <w:bookmarkStart w:id="4" w:name="_Hlk96597894"/>
      <w:r>
        <w:rPr>
          <w:b/>
          <w:bCs/>
          <w:sz w:val="20"/>
          <w:szCs w:val="20"/>
        </w:rPr>
        <w:t xml:space="preserve">Table 2 : Dimensions </w:t>
      </w:r>
      <w:bookmarkEnd w:id="4"/>
      <w:r>
        <w:rPr>
          <w:b/>
          <w:bCs/>
          <w:sz w:val="20"/>
          <w:szCs w:val="20"/>
        </w:rPr>
        <w:t>of the different parts of the building</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3"/>
        <w:gridCol w:w="1417"/>
        <w:gridCol w:w="1560"/>
        <w:gridCol w:w="1275"/>
        <w:gridCol w:w="1276"/>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Align w:val="center"/>
          </w:tcPr>
          <w:p>
            <w:pPr>
              <w:jc w:val="center"/>
              <w:rPr>
                <w:rFonts w:asciiTheme="majorBidi" w:hAnsiTheme="majorBidi" w:cstheme="majorBidi"/>
                <w:b/>
                <w:bCs/>
                <w:sz w:val="20"/>
                <w:szCs w:val="20"/>
              </w:rPr>
            </w:pPr>
            <w:r>
              <w:rPr>
                <w:rFonts w:asciiTheme="majorBidi" w:hAnsiTheme="majorBidi" w:cstheme="majorBidi"/>
                <w:b/>
                <w:bCs/>
                <w:sz w:val="20"/>
                <w:szCs w:val="20"/>
              </w:rPr>
              <w:t xml:space="preserve">Parts </w:t>
            </w:r>
            <w:r>
              <w:rPr>
                <w:b/>
                <w:bCs/>
                <w:sz w:val="20"/>
                <w:szCs w:val="20"/>
              </w:rPr>
              <w:t>of the building</w:t>
            </w:r>
          </w:p>
        </w:tc>
        <w:tc>
          <w:tcPr>
            <w:tcW w:w="1417" w:type="dxa"/>
            <w:vAlign w:val="center"/>
          </w:tcPr>
          <w:p>
            <w:pPr>
              <w:jc w:val="center"/>
              <w:rPr>
                <w:rFonts w:asciiTheme="majorBidi" w:hAnsiTheme="majorBidi" w:cstheme="majorBidi"/>
                <w:b/>
                <w:bCs/>
                <w:sz w:val="20"/>
                <w:szCs w:val="20"/>
              </w:rPr>
            </w:pPr>
            <w:r>
              <w:rPr>
                <w:rFonts w:asciiTheme="majorBidi" w:hAnsiTheme="majorBidi" w:cstheme="majorBidi"/>
                <w:b/>
                <w:bCs/>
                <w:sz w:val="20"/>
                <w:szCs w:val="20"/>
              </w:rPr>
              <w:t>Length</w:t>
            </w:r>
          </w:p>
          <w:p>
            <w:pPr>
              <w:jc w:val="center"/>
              <w:rPr>
                <w:rFonts w:asciiTheme="majorBidi" w:hAnsiTheme="majorBidi" w:cstheme="majorBidi"/>
                <w:b/>
                <w:bCs/>
                <w:sz w:val="20"/>
                <w:szCs w:val="20"/>
              </w:rPr>
            </w:pPr>
            <w:r>
              <w:rPr>
                <w:rFonts w:asciiTheme="majorBidi" w:hAnsiTheme="majorBidi" w:cstheme="majorBidi"/>
                <w:b/>
                <w:bCs/>
                <w:sz w:val="20"/>
                <w:szCs w:val="20"/>
              </w:rPr>
              <w:t>(m)</w:t>
            </w:r>
          </w:p>
        </w:tc>
        <w:tc>
          <w:tcPr>
            <w:tcW w:w="1560" w:type="dxa"/>
            <w:vAlign w:val="center"/>
          </w:tcPr>
          <w:p>
            <w:pPr>
              <w:jc w:val="center"/>
              <w:rPr>
                <w:rFonts w:asciiTheme="majorBidi" w:hAnsiTheme="majorBidi" w:cstheme="majorBidi"/>
                <w:b/>
                <w:bCs/>
                <w:sz w:val="20"/>
                <w:szCs w:val="20"/>
              </w:rPr>
            </w:pPr>
            <w:r>
              <w:rPr>
                <w:rFonts w:asciiTheme="majorBidi" w:hAnsiTheme="majorBidi" w:cstheme="majorBidi"/>
                <w:b/>
                <w:bCs/>
                <w:sz w:val="20"/>
                <w:szCs w:val="20"/>
              </w:rPr>
              <w:t>Width</w:t>
            </w:r>
          </w:p>
          <w:p>
            <w:pPr>
              <w:jc w:val="center"/>
              <w:rPr>
                <w:rFonts w:asciiTheme="majorBidi" w:hAnsiTheme="majorBidi" w:cstheme="majorBidi"/>
                <w:b/>
                <w:bCs/>
                <w:sz w:val="20"/>
                <w:szCs w:val="20"/>
              </w:rPr>
            </w:pPr>
            <w:r>
              <w:rPr>
                <w:rFonts w:asciiTheme="majorBidi" w:hAnsiTheme="majorBidi" w:cstheme="majorBidi"/>
                <w:b/>
                <w:bCs/>
                <w:sz w:val="20"/>
                <w:szCs w:val="20"/>
              </w:rPr>
              <w:t>(m)</w:t>
            </w:r>
          </w:p>
        </w:tc>
        <w:tc>
          <w:tcPr>
            <w:tcW w:w="1275" w:type="dxa"/>
            <w:vAlign w:val="center"/>
          </w:tcPr>
          <w:p>
            <w:pPr>
              <w:jc w:val="center"/>
              <w:rPr>
                <w:rFonts w:asciiTheme="majorBidi" w:hAnsiTheme="majorBidi" w:cstheme="majorBidi"/>
                <w:b/>
                <w:bCs/>
                <w:sz w:val="20"/>
                <w:szCs w:val="20"/>
              </w:rPr>
            </w:pPr>
            <w:r>
              <w:rPr>
                <w:rFonts w:asciiTheme="majorBidi" w:hAnsiTheme="majorBidi" w:cstheme="majorBidi"/>
                <w:b/>
                <w:bCs/>
                <w:sz w:val="20"/>
                <w:szCs w:val="20"/>
              </w:rPr>
              <w:t>Height</w:t>
            </w:r>
          </w:p>
          <w:p>
            <w:pPr>
              <w:jc w:val="center"/>
              <w:rPr>
                <w:rFonts w:asciiTheme="majorBidi" w:hAnsiTheme="majorBidi" w:cstheme="majorBidi"/>
                <w:b/>
                <w:bCs/>
                <w:sz w:val="20"/>
                <w:szCs w:val="20"/>
              </w:rPr>
            </w:pPr>
            <w:r>
              <w:rPr>
                <w:rFonts w:asciiTheme="majorBidi" w:hAnsiTheme="majorBidi" w:cstheme="majorBidi"/>
                <w:b/>
                <w:bCs/>
                <w:sz w:val="20"/>
                <w:szCs w:val="20"/>
              </w:rPr>
              <w:t>(m)</w:t>
            </w:r>
          </w:p>
        </w:tc>
        <w:tc>
          <w:tcPr>
            <w:tcW w:w="1276" w:type="dxa"/>
            <w:vAlign w:val="center"/>
          </w:tcPr>
          <w:p>
            <w:pPr>
              <w:jc w:val="center"/>
              <w:rPr>
                <w:rFonts w:asciiTheme="majorBidi" w:hAnsiTheme="majorBidi" w:cstheme="majorBidi"/>
                <w:b/>
                <w:bCs/>
                <w:sz w:val="20"/>
                <w:szCs w:val="20"/>
              </w:rPr>
            </w:pPr>
            <w:r>
              <w:rPr>
                <w:rFonts w:asciiTheme="majorBidi" w:hAnsiTheme="majorBidi" w:cstheme="majorBidi"/>
                <w:b/>
                <w:bCs/>
                <w:sz w:val="20"/>
                <w:szCs w:val="20"/>
              </w:rPr>
              <w:t>Area</w:t>
            </w:r>
          </w:p>
          <w:p>
            <w:pPr>
              <w:jc w:val="center"/>
              <w:rPr>
                <w:rFonts w:asciiTheme="majorBidi" w:hAnsiTheme="majorBidi" w:cstheme="majorBidi"/>
                <w:b/>
                <w:bCs/>
                <w:sz w:val="20"/>
                <w:szCs w:val="20"/>
              </w:rPr>
            </w:pPr>
            <w:r>
              <w:rPr>
                <w:rFonts w:asciiTheme="majorBidi" w:hAnsiTheme="majorBidi" w:cstheme="majorBidi"/>
                <w:b/>
                <w:bCs/>
                <w:sz w:val="20"/>
                <w:szCs w:val="20"/>
              </w:rPr>
              <w:t>(m²)</w:t>
            </w:r>
          </w:p>
        </w:tc>
        <w:tc>
          <w:tcPr>
            <w:tcW w:w="1559" w:type="dxa"/>
            <w:vAlign w:val="center"/>
          </w:tcPr>
          <w:p>
            <w:pPr>
              <w:jc w:val="center"/>
              <w:rPr>
                <w:rFonts w:asciiTheme="majorBidi" w:hAnsiTheme="majorBidi" w:cstheme="majorBidi"/>
                <w:b/>
                <w:bCs/>
                <w:sz w:val="20"/>
                <w:szCs w:val="20"/>
              </w:rPr>
            </w:pPr>
            <w:r>
              <w:rPr>
                <w:rFonts w:asciiTheme="majorBidi" w:hAnsiTheme="majorBidi" w:cstheme="majorBidi"/>
                <w:b/>
                <w:bCs/>
                <w:sz w:val="20"/>
                <w:szCs w:val="20"/>
              </w:rPr>
              <w:t>Volume</w:t>
            </w:r>
          </w:p>
          <w:p>
            <w:pPr>
              <w:jc w:val="center"/>
              <w:rPr>
                <w:rFonts w:asciiTheme="majorBidi" w:hAnsiTheme="majorBidi" w:cstheme="majorBidi"/>
                <w:b/>
                <w:bCs/>
                <w:sz w:val="20"/>
                <w:szCs w:val="20"/>
              </w:rPr>
            </w:pPr>
            <w:r>
              <w:rPr>
                <w:rFonts w:asciiTheme="majorBidi" w:hAnsiTheme="majorBidi" w:cstheme="majorBidi"/>
                <w:b/>
                <w:bCs/>
                <w:sz w:val="20"/>
                <w:szCs w:val="20"/>
              </w:rPr>
              <w:t>(m</w:t>
            </w:r>
            <w:r>
              <w:rPr>
                <w:rFonts w:asciiTheme="majorBidi" w:hAnsiTheme="majorBidi" w:cstheme="majorBidi"/>
                <w:b/>
                <w:bCs/>
                <w:sz w:val="20"/>
                <w:szCs w:val="20"/>
                <w:vertAlign w:val="superscript"/>
              </w:rPr>
              <w:t>3</w:t>
            </w:r>
            <w:r>
              <w:rPr>
                <w:rFonts w:asciiTheme="majorBidi" w:hAnsiTheme="majorBidi" w:cstheme="majorBidi"/>
                <w:b/>
                <w:bCs/>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Align w:val="center"/>
          </w:tcPr>
          <w:p>
            <w:pPr>
              <w:jc w:val="center"/>
              <w:rPr>
                <w:rFonts w:asciiTheme="majorBidi" w:hAnsiTheme="majorBidi" w:cstheme="majorBidi"/>
                <w:sz w:val="20"/>
                <w:szCs w:val="20"/>
              </w:rPr>
            </w:pPr>
            <w:r>
              <w:rPr>
                <w:rFonts w:asciiTheme="majorBidi" w:hAnsiTheme="majorBidi" w:cstheme="majorBidi"/>
                <w:sz w:val="20"/>
                <w:szCs w:val="20"/>
              </w:rPr>
              <w:t>Room1</w:t>
            </w:r>
          </w:p>
        </w:tc>
        <w:tc>
          <w:tcPr>
            <w:tcW w:w="1417" w:type="dxa"/>
            <w:vAlign w:val="center"/>
          </w:tcPr>
          <w:p>
            <w:pPr>
              <w:jc w:val="center"/>
              <w:rPr>
                <w:rFonts w:asciiTheme="majorBidi" w:hAnsiTheme="majorBidi" w:cstheme="majorBidi"/>
                <w:sz w:val="20"/>
                <w:szCs w:val="20"/>
              </w:rPr>
            </w:pPr>
            <w:r>
              <w:rPr>
                <w:rFonts w:asciiTheme="majorBidi" w:hAnsiTheme="majorBidi" w:cstheme="majorBidi"/>
                <w:sz w:val="20"/>
                <w:szCs w:val="20"/>
              </w:rPr>
              <w:t>4.00</w:t>
            </w:r>
          </w:p>
        </w:tc>
        <w:tc>
          <w:tcPr>
            <w:tcW w:w="1560" w:type="dxa"/>
            <w:vAlign w:val="center"/>
          </w:tcPr>
          <w:p>
            <w:pPr>
              <w:jc w:val="center"/>
              <w:rPr>
                <w:rFonts w:asciiTheme="majorBidi" w:hAnsiTheme="majorBidi" w:cstheme="majorBidi"/>
                <w:sz w:val="20"/>
                <w:szCs w:val="20"/>
              </w:rPr>
            </w:pPr>
            <w:r>
              <w:rPr>
                <w:rFonts w:asciiTheme="majorBidi" w:hAnsiTheme="majorBidi" w:cstheme="majorBidi"/>
                <w:sz w:val="20"/>
                <w:szCs w:val="20"/>
              </w:rPr>
              <w:t>4.00</w:t>
            </w:r>
          </w:p>
        </w:tc>
        <w:tc>
          <w:tcPr>
            <w:tcW w:w="1275" w:type="dxa"/>
            <w:vAlign w:val="center"/>
          </w:tcPr>
          <w:p>
            <w:pPr>
              <w:jc w:val="center"/>
              <w:rPr>
                <w:rFonts w:asciiTheme="majorBidi" w:hAnsiTheme="majorBidi" w:cstheme="majorBidi"/>
                <w:sz w:val="20"/>
                <w:szCs w:val="20"/>
              </w:rPr>
            </w:pPr>
            <w:r>
              <w:rPr>
                <w:rFonts w:asciiTheme="majorBidi" w:hAnsiTheme="majorBidi" w:cstheme="majorBidi"/>
                <w:sz w:val="20"/>
                <w:szCs w:val="20"/>
              </w:rPr>
              <w:t>3.00</w:t>
            </w:r>
          </w:p>
        </w:tc>
        <w:tc>
          <w:tcPr>
            <w:tcW w:w="1276" w:type="dxa"/>
            <w:vAlign w:val="center"/>
          </w:tcPr>
          <w:p>
            <w:pPr>
              <w:jc w:val="center"/>
              <w:rPr>
                <w:rFonts w:asciiTheme="majorBidi" w:hAnsiTheme="majorBidi" w:cstheme="majorBidi"/>
                <w:sz w:val="20"/>
                <w:szCs w:val="20"/>
              </w:rPr>
            </w:pPr>
            <w:r>
              <w:rPr>
                <w:rFonts w:asciiTheme="majorBidi" w:hAnsiTheme="majorBidi" w:cstheme="majorBidi"/>
                <w:sz w:val="20"/>
                <w:szCs w:val="20"/>
              </w:rPr>
              <w:t>16.00</w:t>
            </w:r>
          </w:p>
        </w:tc>
        <w:tc>
          <w:tcPr>
            <w:tcW w:w="1559" w:type="dxa"/>
            <w:vAlign w:val="center"/>
          </w:tcPr>
          <w:p>
            <w:pPr>
              <w:jc w:val="center"/>
              <w:rPr>
                <w:rFonts w:asciiTheme="majorBidi" w:hAnsiTheme="majorBidi" w:cstheme="majorBidi"/>
                <w:sz w:val="20"/>
                <w:szCs w:val="20"/>
              </w:rPr>
            </w:pPr>
            <w:r>
              <w:rPr>
                <w:rFonts w:asciiTheme="majorBidi" w:hAnsiTheme="majorBidi" w:cstheme="majorBidi"/>
                <w:sz w:val="20"/>
                <w:szCs w:val="20"/>
              </w:rPr>
              <w:t>48.00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Align w:val="center"/>
          </w:tcPr>
          <w:p>
            <w:pPr>
              <w:jc w:val="center"/>
              <w:rPr>
                <w:rFonts w:asciiTheme="majorBidi" w:hAnsiTheme="majorBidi" w:cstheme="majorBidi"/>
                <w:sz w:val="20"/>
                <w:szCs w:val="20"/>
              </w:rPr>
            </w:pPr>
            <w:r>
              <w:rPr>
                <w:rFonts w:asciiTheme="majorBidi" w:hAnsiTheme="majorBidi" w:cstheme="majorBidi"/>
                <w:sz w:val="20"/>
                <w:szCs w:val="20"/>
              </w:rPr>
              <w:t>Room2</w:t>
            </w:r>
          </w:p>
        </w:tc>
        <w:tc>
          <w:tcPr>
            <w:tcW w:w="1417" w:type="dxa"/>
            <w:vAlign w:val="center"/>
          </w:tcPr>
          <w:p>
            <w:pPr>
              <w:jc w:val="center"/>
              <w:rPr>
                <w:rFonts w:asciiTheme="majorBidi" w:hAnsiTheme="majorBidi" w:cstheme="majorBidi"/>
                <w:sz w:val="20"/>
                <w:szCs w:val="20"/>
              </w:rPr>
            </w:pPr>
            <w:r>
              <w:rPr>
                <w:rFonts w:asciiTheme="majorBidi" w:hAnsiTheme="majorBidi" w:cstheme="majorBidi"/>
                <w:sz w:val="20"/>
                <w:szCs w:val="20"/>
              </w:rPr>
              <w:t>4.00</w:t>
            </w:r>
          </w:p>
        </w:tc>
        <w:tc>
          <w:tcPr>
            <w:tcW w:w="1560" w:type="dxa"/>
            <w:vAlign w:val="center"/>
          </w:tcPr>
          <w:p>
            <w:pPr>
              <w:jc w:val="center"/>
              <w:rPr>
                <w:rFonts w:asciiTheme="majorBidi" w:hAnsiTheme="majorBidi" w:cstheme="majorBidi"/>
                <w:sz w:val="20"/>
                <w:szCs w:val="20"/>
              </w:rPr>
            </w:pPr>
            <w:r>
              <w:rPr>
                <w:rFonts w:asciiTheme="majorBidi" w:hAnsiTheme="majorBidi" w:cstheme="majorBidi"/>
                <w:sz w:val="20"/>
                <w:szCs w:val="20"/>
              </w:rPr>
              <w:t>4.00</w:t>
            </w:r>
          </w:p>
        </w:tc>
        <w:tc>
          <w:tcPr>
            <w:tcW w:w="1275" w:type="dxa"/>
            <w:vAlign w:val="center"/>
          </w:tcPr>
          <w:p>
            <w:pPr>
              <w:jc w:val="center"/>
              <w:rPr>
                <w:sz w:val="20"/>
                <w:szCs w:val="20"/>
              </w:rPr>
            </w:pPr>
            <w:r>
              <w:rPr>
                <w:rFonts w:asciiTheme="majorBidi" w:hAnsiTheme="majorBidi" w:cstheme="majorBidi"/>
                <w:sz w:val="20"/>
                <w:szCs w:val="20"/>
              </w:rPr>
              <w:t>3.00</w:t>
            </w:r>
          </w:p>
        </w:tc>
        <w:tc>
          <w:tcPr>
            <w:tcW w:w="1276" w:type="dxa"/>
            <w:vAlign w:val="center"/>
          </w:tcPr>
          <w:p>
            <w:pPr>
              <w:jc w:val="center"/>
              <w:rPr>
                <w:rFonts w:asciiTheme="majorBidi" w:hAnsiTheme="majorBidi" w:cstheme="majorBidi"/>
                <w:sz w:val="20"/>
                <w:szCs w:val="20"/>
              </w:rPr>
            </w:pPr>
            <w:r>
              <w:rPr>
                <w:rFonts w:asciiTheme="majorBidi" w:hAnsiTheme="majorBidi" w:cstheme="majorBidi"/>
                <w:sz w:val="20"/>
                <w:szCs w:val="20"/>
              </w:rPr>
              <w:t>16.00</w:t>
            </w:r>
          </w:p>
        </w:tc>
        <w:tc>
          <w:tcPr>
            <w:tcW w:w="1559" w:type="dxa"/>
            <w:vAlign w:val="center"/>
          </w:tcPr>
          <w:p>
            <w:pPr>
              <w:jc w:val="center"/>
              <w:rPr>
                <w:rFonts w:asciiTheme="majorBidi" w:hAnsiTheme="majorBidi" w:cstheme="majorBidi"/>
                <w:sz w:val="20"/>
                <w:szCs w:val="20"/>
              </w:rPr>
            </w:pPr>
            <w:r>
              <w:rPr>
                <w:rFonts w:asciiTheme="majorBidi" w:hAnsiTheme="majorBidi" w:cstheme="majorBidi"/>
                <w:sz w:val="20"/>
                <w:szCs w:val="20"/>
              </w:rPr>
              <w:t>48.00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Align w:val="center"/>
          </w:tcPr>
          <w:p>
            <w:pPr>
              <w:jc w:val="center"/>
              <w:rPr>
                <w:rFonts w:asciiTheme="majorBidi" w:hAnsiTheme="majorBidi" w:cstheme="majorBidi"/>
                <w:sz w:val="20"/>
                <w:szCs w:val="20"/>
              </w:rPr>
            </w:pPr>
            <w:r>
              <w:rPr>
                <w:rFonts w:asciiTheme="majorBidi" w:hAnsiTheme="majorBidi" w:cstheme="majorBidi"/>
                <w:sz w:val="20"/>
                <w:szCs w:val="20"/>
              </w:rPr>
              <w:t>Living room</w:t>
            </w:r>
          </w:p>
        </w:tc>
        <w:tc>
          <w:tcPr>
            <w:tcW w:w="1417" w:type="dxa"/>
            <w:vAlign w:val="center"/>
          </w:tcPr>
          <w:p>
            <w:pPr>
              <w:jc w:val="center"/>
              <w:rPr>
                <w:rFonts w:asciiTheme="majorBidi" w:hAnsiTheme="majorBidi" w:cstheme="majorBidi"/>
                <w:sz w:val="20"/>
                <w:szCs w:val="20"/>
              </w:rPr>
            </w:pPr>
            <w:r>
              <w:rPr>
                <w:rFonts w:asciiTheme="majorBidi" w:hAnsiTheme="majorBidi" w:cstheme="majorBidi"/>
                <w:sz w:val="20"/>
                <w:szCs w:val="20"/>
              </w:rPr>
              <w:t>4.00</w:t>
            </w:r>
          </w:p>
        </w:tc>
        <w:tc>
          <w:tcPr>
            <w:tcW w:w="1560" w:type="dxa"/>
            <w:vAlign w:val="center"/>
          </w:tcPr>
          <w:p>
            <w:pPr>
              <w:jc w:val="center"/>
              <w:rPr>
                <w:rFonts w:asciiTheme="majorBidi" w:hAnsiTheme="majorBidi" w:cstheme="majorBidi"/>
                <w:sz w:val="20"/>
                <w:szCs w:val="20"/>
              </w:rPr>
            </w:pPr>
            <w:r>
              <w:rPr>
                <w:rFonts w:asciiTheme="majorBidi" w:hAnsiTheme="majorBidi" w:cstheme="majorBidi"/>
                <w:sz w:val="20"/>
                <w:szCs w:val="20"/>
              </w:rPr>
              <w:t>4.00</w:t>
            </w:r>
          </w:p>
        </w:tc>
        <w:tc>
          <w:tcPr>
            <w:tcW w:w="1275" w:type="dxa"/>
            <w:vAlign w:val="center"/>
          </w:tcPr>
          <w:p>
            <w:pPr>
              <w:jc w:val="center"/>
              <w:rPr>
                <w:sz w:val="20"/>
                <w:szCs w:val="20"/>
              </w:rPr>
            </w:pPr>
            <w:r>
              <w:rPr>
                <w:rFonts w:asciiTheme="majorBidi" w:hAnsiTheme="majorBidi" w:cstheme="majorBidi"/>
                <w:sz w:val="20"/>
                <w:szCs w:val="20"/>
              </w:rPr>
              <w:t>3.00</w:t>
            </w:r>
          </w:p>
        </w:tc>
        <w:tc>
          <w:tcPr>
            <w:tcW w:w="1276" w:type="dxa"/>
            <w:vAlign w:val="center"/>
          </w:tcPr>
          <w:p>
            <w:pPr>
              <w:jc w:val="center"/>
              <w:rPr>
                <w:rFonts w:asciiTheme="majorBidi" w:hAnsiTheme="majorBidi" w:cstheme="majorBidi"/>
                <w:sz w:val="20"/>
                <w:szCs w:val="20"/>
              </w:rPr>
            </w:pPr>
            <w:r>
              <w:rPr>
                <w:rFonts w:asciiTheme="majorBidi" w:hAnsiTheme="majorBidi" w:cstheme="majorBidi"/>
                <w:sz w:val="20"/>
                <w:szCs w:val="20"/>
              </w:rPr>
              <w:t>16.00</w:t>
            </w:r>
          </w:p>
        </w:tc>
        <w:tc>
          <w:tcPr>
            <w:tcW w:w="1559" w:type="dxa"/>
            <w:vAlign w:val="center"/>
          </w:tcPr>
          <w:p>
            <w:pPr>
              <w:jc w:val="center"/>
              <w:rPr>
                <w:rFonts w:asciiTheme="majorBidi" w:hAnsiTheme="majorBidi" w:cstheme="majorBidi"/>
                <w:sz w:val="20"/>
                <w:szCs w:val="20"/>
              </w:rPr>
            </w:pPr>
            <w:r>
              <w:rPr>
                <w:rFonts w:asciiTheme="majorBidi" w:hAnsiTheme="majorBidi" w:cstheme="majorBidi"/>
                <w:sz w:val="20"/>
                <w:szCs w:val="20"/>
              </w:rPr>
              <w:t>48.00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Align w:val="center"/>
          </w:tcPr>
          <w:p>
            <w:pPr>
              <w:jc w:val="center"/>
              <w:rPr>
                <w:rFonts w:asciiTheme="majorBidi" w:hAnsiTheme="majorBidi" w:cstheme="majorBidi"/>
                <w:sz w:val="20"/>
                <w:szCs w:val="20"/>
              </w:rPr>
            </w:pPr>
            <w:r>
              <w:rPr>
                <w:rFonts w:asciiTheme="majorBidi" w:hAnsiTheme="majorBidi" w:cstheme="majorBidi"/>
                <w:sz w:val="20"/>
                <w:szCs w:val="20"/>
              </w:rPr>
              <w:t>Kitchen</w:t>
            </w:r>
          </w:p>
        </w:tc>
        <w:tc>
          <w:tcPr>
            <w:tcW w:w="1417" w:type="dxa"/>
            <w:vAlign w:val="center"/>
          </w:tcPr>
          <w:p>
            <w:pPr>
              <w:jc w:val="center"/>
              <w:rPr>
                <w:rFonts w:asciiTheme="majorBidi" w:hAnsiTheme="majorBidi" w:cstheme="majorBidi"/>
                <w:sz w:val="20"/>
                <w:szCs w:val="20"/>
              </w:rPr>
            </w:pPr>
            <w:r>
              <w:rPr>
                <w:rFonts w:asciiTheme="majorBidi" w:hAnsiTheme="majorBidi" w:cstheme="majorBidi"/>
                <w:sz w:val="20"/>
                <w:szCs w:val="20"/>
              </w:rPr>
              <w:t>4.00</w:t>
            </w:r>
          </w:p>
        </w:tc>
        <w:tc>
          <w:tcPr>
            <w:tcW w:w="1560" w:type="dxa"/>
            <w:vAlign w:val="center"/>
          </w:tcPr>
          <w:p>
            <w:pPr>
              <w:jc w:val="center"/>
              <w:rPr>
                <w:rFonts w:asciiTheme="majorBidi" w:hAnsiTheme="majorBidi" w:cstheme="majorBidi"/>
                <w:sz w:val="20"/>
                <w:szCs w:val="20"/>
              </w:rPr>
            </w:pPr>
            <w:r>
              <w:rPr>
                <w:rFonts w:asciiTheme="majorBidi" w:hAnsiTheme="majorBidi" w:cstheme="majorBidi"/>
                <w:sz w:val="20"/>
                <w:szCs w:val="20"/>
              </w:rPr>
              <w:t>4.00</w:t>
            </w:r>
          </w:p>
        </w:tc>
        <w:tc>
          <w:tcPr>
            <w:tcW w:w="1275" w:type="dxa"/>
            <w:vAlign w:val="center"/>
          </w:tcPr>
          <w:p>
            <w:pPr>
              <w:jc w:val="center"/>
              <w:rPr>
                <w:sz w:val="20"/>
                <w:szCs w:val="20"/>
              </w:rPr>
            </w:pPr>
            <w:r>
              <w:rPr>
                <w:rFonts w:asciiTheme="majorBidi" w:hAnsiTheme="majorBidi" w:cstheme="majorBidi"/>
                <w:sz w:val="20"/>
                <w:szCs w:val="20"/>
              </w:rPr>
              <w:t>3.00</w:t>
            </w:r>
          </w:p>
        </w:tc>
        <w:tc>
          <w:tcPr>
            <w:tcW w:w="1276" w:type="dxa"/>
            <w:vAlign w:val="center"/>
          </w:tcPr>
          <w:p>
            <w:pPr>
              <w:jc w:val="center"/>
              <w:rPr>
                <w:rFonts w:asciiTheme="majorBidi" w:hAnsiTheme="majorBidi" w:cstheme="majorBidi"/>
                <w:sz w:val="20"/>
                <w:szCs w:val="20"/>
              </w:rPr>
            </w:pPr>
            <w:r>
              <w:rPr>
                <w:rFonts w:asciiTheme="majorBidi" w:hAnsiTheme="majorBidi" w:cstheme="majorBidi"/>
                <w:sz w:val="20"/>
                <w:szCs w:val="20"/>
              </w:rPr>
              <w:t>16.00</w:t>
            </w:r>
          </w:p>
        </w:tc>
        <w:tc>
          <w:tcPr>
            <w:tcW w:w="1559" w:type="dxa"/>
            <w:vAlign w:val="center"/>
          </w:tcPr>
          <w:p>
            <w:pPr>
              <w:jc w:val="center"/>
              <w:rPr>
                <w:rFonts w:asciiTheme="majorBidi" w:hAnsiTheme="majorBidi" w:cstheme="majorBidi"/>
                <w:sz w:val="20"/>
                <w:szCs w:val="20"/>
              </w:rPr>
            </w:pPr>
            <w:r>
              <w:rPr>
                <w:rFonts w:asciiTheme="majorBidi" w:hAnsiTheme="majorBidi" w:cstheme="majorBidi"/>
                <w:sz w:val="20"/>
                <w:szCs w:val="20"/>
              </w:rPr>
              <w:t>48.00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Align w:val="center"/>
          </w:tcPr>
          <w:p>
            <w:pPr>
              <w:jc w:val="center"/>
              <w:rPr>
                <w:rFonts w:asciiTheme="majorBidi" w:hAnsiTheme="majorBidi" w:cstheme="majorBidi"/>
                <w:sz w:val="20"/>
                <w:szCs w:val="20"/>
              </w:rPr>
            </w:pPr>
            <w:r>
              <w:rPr>
                <w:rFonts w:asciiTheme="majorBidi" w:hAnsiTheme="majorBidi" w:cstheme="majorBidi"/>
                <w:sz w:val="20"/>
                <w:szCs w:val="20"/>
              </w:rPr>
              <w:t>Hall</w:t>
            </w:r>
          </w:p>
        </w:tc>
        <w:tc>
          <w:tcPr>
            <w:tcW w:w="1417" w:type="dxa"/>
            <w:vAlign w:val="center"/>
          </w:tcPr>
          <w:p>
            <w:pPr>
              <w:jc w:val="center"/>
              <w:rPr>
                <w:rFonts w:asciiTheme="majorBidi" w:hAnsiTheme="majorBidi" w:cstheme="majorBidi"/>
                <w:sz w:val="20"/>
                <w:szCs w:val="20"/>
              </w:rPr>
            </w:pPr>
            <w:r>
              <w:rPr>
                <w:rFonts w:asciiTheme="majorBidi" w:hAnsiTheme="majorBidi" w:cstheme="majorBidi"/>
                <w:sz w:val="20"/>
                <w:szCs w:val="20"/>
              </w:rPr>
              <w:t>6.00</w:t>
            </w:r>
          </w:p>
        </w:tc>
        <w:tc>
          <w:tcPr>
            <w:tcW w:w="1560" w:type="dxa"/>
            <w:vAlign w:val="center"/>
          </w:tcPr>
          <w:p>
            <w:pPr>
              <w:jc w:val="center"/>
              <w:rPr>
                <w:rFonts w:asciiTheme="majorBidi" w:hAnsiTheme="majorBidi" w:cstheme="majorBidi"/>
                <w:sz w:val="20"/>
                <w:szCs w:val="20"/>
              </w:rPr>
            </w:pPr>
            <w:r>
              <w:rPr>
                <w:rFonts w:asciiTheme="majorBidi" w:hAnsiTheme="majorBidi" w:cstheme="majorBidi"/>
                <w:sz w:val="20"/>
                <w:szCs w:val="20"/>
              </w:rPr>
              <w:t>2.00</w:t>
            </w:r>
          </w:p>
        </w:tc>
        <w:tc>
          <w:tcPr>
            <w:tcW w:w="1275" w:type="dxa"/>
            <w:vAlign w:val="center"/>
          </w:tcPr>
          <w:p>
            <w:pPr>
              <w:jc w:val="center"/>
              <w:rPr>
                <w:sz w:val="20"/>
                <w:szCs w:val="20"/>
              </w:rPr>
            </w:pPr>
            <w:r>
              <w:rPr>
                <w:rFonts w:asciiTheme="majorBidi" w:hAnsiTheme="majorBidi" w:cstheme="majorBidi"/>
                <w:sz w:val="20"/>
                <w:szCs w:val="20"/>
              </w:rPr>
              <w:t>3.00</w:t>
            </w:r>
          </w:p>
        </w:tc>
        <w:tc>
          <w:tcPr>
            <w:tcW w:w="1276" w:type="dxa"/>
            <w:vAlign w:val="center"/>
          </w:tcPr>
          <w:p>
            <w:pPr>
              <w:jc w:val="center"/>
              <w:rPr>
                <w:rFonts w:asciiTheme="majorBidi" w:hAnsiTheme="majorBidi" w:cstheme="majorBidi"/>
                <w:sz w:val="20"/>
                <w:szCs w:val="20"/>
              </w:rPr>
            </w:pPr>
            <w:r>
              <w:rPr>
                <w:rFonts w:asciiTheme="majorBidi" w:hAnsiTheme="majorBidi" w:cstheme="majorBidi"/>
                <w:sz w:val="20"/>
                <w:szCs w:val="20"/>
              </w:rPr>
              <w:t>12.00</w:t>
            </w:r>
          </w:p>
        </w:tc>
        <w:tc>
          <w:tcPr>
            <w:tcW w:w="1559" w:type="dxa"/>
            <w:vAlign w:val="center"/>
          </w:tcPr>
          <w:p>
            <w:pPr>
              <w:jc w:val="center"/>
              <w:rPr>
                <w:rFonts w:asciiTheme="majorBidi" w:hAnsiTheme="majorBidi" w:cstheme="majorBidi"/>
                <w:sz w:val="20"/>
                <w:szCs w:val="20"/>
              </w:rPr>
            </w:pPr>
            <w:r>
              <w:rPr>
                <w:rFonts w:asciiTheme="majorBidi" w:hAnsiTheme="majorBidi" w:cstheme="majorBidi"/>
                <w:sz w:val="20"/>
                <w:szCs w:val="20"/>
              </w:rPr>
              <w:t>36.00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Align w:val="center"/>
          </w:tcPr>
          <w:p>
            <w:pPr>
              <w:jc w:val="center"/>
              <w:rPr>
                <w:rFonts w:asciiTheme="majorBidi" w:hAnsiTheme="majorBidi" w:cstheme="majorBidi"/>
                <w:sz w:val="20"/>
                <w:szCs w:val="20"/>
              </w:rPr>
            </w:pPr>
            <w:r>
              <w:rPr>
                <w:rFonts w:asciiTheme="majorBidi" w:hAnsiTheme="majorBidi" w:cstheme="majorBidi"/>
                <w:sz w:val="20"/>
                <w:szCs w:val="20"/>
              </w:rPr>
              <w:t>Toilet</w:t>
            </w:r>
          </w:p>
        </w:tc>
        <w:tc>
          <w:tcPr>
            <w:tcW w:w="1417" w:type="dxa"/>
            <w:vAlign w:val="center"/>
          </w:tcPr>
          <w:p>
            <w:pPr>
              <w:jc w:val="center"/>
              <w:rPr>
                <w:rFonts w:asciiTheme="majorBidi" w:hAnsiTheme="majorBidi" w:cstheme="majorBidi"/>
                <w:sz w:val="20"/>
                <w:szCs w:val="20"/>
              </w:rPr>
            </w:pPr>
            <w:r>
              <w:rPr>
                <w:rFonts w:asciiTheme="majorBidi" w:hAnsiTheme="majorBidi" w:cstheme="majorBidi"/>
                <w:sz w:val="20"/>
                <w:szCs w:val="20"/>
              </w:rPr>
              <w:t>2.00</w:t>
            </w:r>
          </w:p>
        </w:tc>
        <w:tc>
          <w:tcPr>
            <w:tcW w:w="1560" w:type="dxa"/>
            <w:vAlign w:val="center"/>
          </w:tcPr>
          <w:p>
            <w:pPr>
              <w:jc w:val="center"/>
              <w:rPr>
                <w:rFonts w:asciiTheme="majorBidi" w:hAnsiTheme="majorBidi" w:cstheme="majorBidi"/>
                <w:sz w:val="20"/>
                <w:szCs w:val="20"/>
              </w:rPr>
            </w:pPr>
            <w:r>
              <w:rPr>
                <w:rFonts w:asciiTheme="majorBidi" w:hAnsiTheme="majorBidi" w:cstheme="majorBidi"/>
                <w:sz w:val="20"/>
                <w:szCs w:val="20"/>
              </w:rPr>
              <w:t>2.00</w:t>
            </w:r>
          </w:p>
        </w:tc>
        <w:tc>
          <w:tcPr>
            <w:tcW w:w="1275" w:type="dxa"/>
            <w:vAlign w:val="center"/>
          </w:tcPr>
          <w:p>
            <w:pPr>
              <w:jc w:val="center"/>
              <w:rPr>
                <w:sz w:val="20"/>
                <w:szCs w:val="20"/>
              </w:rPr>
            </w:pPr>
            <w:r>
              <w:rPr>
                <w:rFonts w:asciiTheme="majorBidi" w:hAnsiTheme="majorBidi" w:cstheme="majorBidi"/>
                <w:sz w:val="20"/>
                <w:szCs w:val="20"/>
              </w:rPr>
              <w:t>3.00</w:t>
            </w:r>
          </w:p>
        </w:tc>
        <w:tc>
          <w:tcPr>
            <w:tcW w:w="1276" w:type="dxa"/>
            <w:vAlign w:val="center"/>
          </w:tcPr>
          <w:p>
            <w:pPr>
              <w:jc w:val="center"/>
              <w:rPr>
                <w:rFonts w:asciiTheme="majorBidi" w:hAnsiTheme="majorBidi" w:cstheme="majorBidi"/>
                <w:sz w:val="20"/>
                <w:szCs w:val="20"/>
              </w:rPr>
            </w:pPr>
            <w:r>
              <w:rPr>
                <w:rFonts w:asciiTheme="majorBidi" w:hAnsiTheme="majorBidi" w:cstheme="majorBidi"/>
                <w:sz w:val="20"/>
                <w:szCs w:val="20"/>
              </w:rPr>
              <w:t>4.00</w:t>
            </w:r>
          </w:p>
        </w:tc>
        <w:tc>
          <w:tcPr>
            <w:tcW w:w="1559" w:type="dxa"/>
            <w:vAlign w:val="center"/>
          </w:tcPr>
          <w:p>
            <w:pPr>
              <w:jc w:val="center"/>
              <w:rPr>
                <w:rFonts w:asciiTheme="majorBidi" w:hAnsiTheme="majorBidi" w:cstheme="majorBidi"/>
                <w:sz w:val="20"/>
                <w:szCs w:val="20"/>
              </w:rPr>
            </w:pPr>
            <w:r>
              <w:rPr>
                <w:rFonts w:asciiTheme="majorBidi" w:hAnsiTheme="majorBidi" w:cstheme="majorBidi"/>
                <w:sz w:val="20"/>
                <w:szCs w:val="20"/>
              </w:rPr>
              <w:t>12.00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65" w:type="dxa"/>
            <w:gridSpan w:val="4"/>
            <w:vAlign w:val="center"/>
          </w:tcPr>
          <w:p>
            <w:pPr>
              <w:jc w:val="center"/>
              <w:rPr>
                <w:rFonts w:asciiTheme="majorBidi" w:hAnsiTheme="majorBidi" w:cstheme="majorBidi"/>
                <w:b/>
                <w:bCs/>
                <w:sz w:val="20"/>
                <w:szCs w:val="20"/>
              </w:rPr>
            </w:pPr>
            <w:r>
              <w:rPr>
                <w:rFonts w:asciiTheme="majorBidi" w:hAnsiTheme="majorBidi" w:cstheme="majorBidi"/>
                <w:b/>
                <w:bCs/>
                <w:sz w:val="20"/>
                <w:szCs w:val="20"/>
              </w:rPr>
              <w:t>Total</w:t>
            </w:r>
          </w:p>
        </w:tc>
        <w:tc>
          <w:tcPr>
            <w:tcW w:w="1276" w:type="dxa"/>
            <w:vAlign w:val="center"/>
          </w:tcPr>
          <w:p>
            <w:pPr>
              <w:jc w:val="center"/>
              <w:rPr>
                <w:rFonts w:asciiTheme="majorBidi" w:hAnsiTheme="majorBidi" w:cstheme="majorBidi"/>
                <w:sz w:val="20"/>
                <w:szCs w:val="20"/>
              </w:rPr>
            </w:pPr>
            <w:r>
              <w:rPr>
                <w:rFonts w:asciiTheme="majorBidi" w:hAnsiTheme="majorBidi" w:cstheme="majorBidi"/>
                <w:sz w:val="20"/>
                <w:szCs w:val="20"/>
              </w:rPr>
              <w:t>80.00</w:t>
            </w:r>
          </w:p>
        </w:tc>
        <w:tc>
          <w:tcPr>
            <w:tcW w:w="1559" w:type="dxa"/>
            <w:vAlign w:val="center"/>
          </w:tcPr>
          <w:p>
            <w:pPr>
              <w:jc w:val="center"/>
              <w:rPr>
                <w:rFonts w:asciiTheme="majorBidi" w:hAnsiTheme="majorBidi" w:cstheme="majorBidi"/>
                <w:sz w:val="20"/>
                <w:szCs w:val="20"/>
              </w:rPr>
            </w:pPr>
            <w:r>
              <w:rPr>
                <w:rFonts w:asciiTheme="majorBidi" w:hAnsiTheme="majorBidi" w:cstheme="majorBidi"/>
                <w:sz w:val="20"/>
                <w:szCs w:val="20"/>
              </w:rPr>
              <w:t>240.00</w:t>
            </w:r>
          </w:p>
        </w:tc>
      </w:tr>
    </w:tbl>
    <w:p>
      <w:pPr>
        <w:spacing w:line="360" w:lineRule="auto"/>
        <w:jc w:val="both"/>
        <w:rPr>
          <w:sz w:val="32"/>
          <w:szCs w:val="28"/>
        </w:rPr>
      </w:pPr>
    </w:p>
    <w:p>
      <w:pPr>
        <w:spacing w:line="360" w:lineRule="auto"/>
        <w:rPr>
          <w:b/>
          <w:bCs/>
        </w:rPr>
      </w:pPr>
      <w:r>
        <w:rPr>
          <w:b/>
          <w:bCs/>
        </w:rPr>
        <w:t>2. Thermal characteristics of materials</w:t>
      </w:r>
    </w:p>
    <w:p>
      <w:pPr>
        <w:spacing w:line="360" w:lineRule="auto"/>
        <w:jc w:val="both"/>
      </w:pPr>
      <w:r>
        <w:t xml:space="preserve">The non-insulated exterior walls are made of hollow brick 15 cm thick with an exterior plaster of cement mortar and the interior of plaster. The internal walls are made of 10 cm hollow brick with a plaster coating on both sides. The ground consists of a layer of stone 20 cm thick followed by 10 cm of concrete, covered with tiles. The roof is made of concrete-slab with a thickness of 20 cm and a cement mortar screed and an interior plaster coating. Table 3 presents the </w:t>
      </w:r>
      <w:bookmarkStart w:id="5" w:name="_Hlk96597918"/>
      <w:r>
        <w:t xml:space="preserve">thermal characteristics of the materials </w:t>
      </w:r>
      <w:bookmarkEnd w:id="5"/>
      <w:r>
        <w:t>used in the building.</w:t>
      </w:r>
    </w:p>
    <w:p>
      <w:pPr>
        <w:spacing w:line="360" w:lineRule="auto"/>
        <w:jc w:val="both"/>
      </w:pPr>
    </w:p>
    <w:p>
      <w:pPr>
        <w:jc w:val="center"/>
      </w:pPr>
      <w:r>
        <w:rPr>
          <w:b/>
          <w:bCs/>
          <w:sz w:val="20"/>
          <w:szCs w:val="20"/>
        </w:rPr>
        <w:t>Table 3 : Thermal characteristics of the materials</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82"/>
        <w:gridCol w:w="1574"/>
        <w:gridCol w:w="1275"/>
        <w:gridCol w:w="1276"/>
        <w:gridCol w:w="1134"/>
        <w:gridCol w:w="1149"/>
        <w:gridCol w:w="9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82" w:type="dxa"/>
          </w:tcPr>
          <w:p>
            <w:pPr>
              <w:jc w:val="center"/>
              <w:rPr>
                <w:rFonts w:asciiTheme="majorBidi" w:hAnsiTheme="majorBidi" w:cstheme="majorBidi"/>
                <w:b/>
                <w:bCs/>
                <w:sz w:val="18"/>
                <w:szCs w:val="18"/>
              </w:rPr>
            </w:pPr>
          </w:p>
        </w:tc>
        <w:tc>
          <w:tcPr>
            <w:tcW w:w="1574" w:type="dxa"/>
            <w:vAlign w:val="center"/>
          </w:tcPr>
          <w:p>
            <w:pPr>
              <w:jc w:val="center"/>
              <w:rPr>
                <w:rFonts w:asciiTheme="majorBidi" w:hAnsiTheme="majorBidi" w:cstheme="majorBidi"/>
                <w:b/>
                <w:bCs/>
                <w:sz w:val="18"/>
                <w:szCs w:val="18"/>
              </w:rPr>
            </w:pPr>
            <w:bookmarkStart w:id="6" w:name="_Hlk97207494"/>
            <w:r>
              <w:rPr>
                <w:rFonts w:asciiTheme="majorBidi" w:hAnsiTheme="majorBidi" w:cstheme="majorBidi"/>
                <w:b/>
                <w:bCs/>
                <w:sz w:val="18"/>
                <w:szCs w:val="18"/>
              </w:rPr>
              <w:t>Layers</w:t>
            </w:r>
          </w:p>
        </w:tc>
        <w:tc>
          <w:tcPr>
            <w:tcW w:w="1275" w:type="dxa"/>
            <w:vAlign w:val="center"/>
          </w:tcPr>
          <w:p>
            <w:pPr>
              <w:jc w:val="center"/>
              <w:rPr>
                <w:rFonts w:asciiTheme="majorBidi" w:hAnsiTheme="majorBidi" w:cstheme="majorBidi"/>
                <w:b/>
                <w:bCs/>
                <w:sz w:val="18"/>
                <w:szCs w:val="18"/>
              </w:rPr>
            </w:pPr>
            <w:r>
              <w:rPr>
                <w:rFonts w:asciiTheme="majorBidi" w:hAnsiTheme="majorBidi" w:cstheme="majorBidi"/>
                <w:b/>
                <w:bCs/>
                <w:sz w:val="18"/>
                <w:szCs w:val="18"/>
              </w:rPr>
              <w:t>Thermal conductivity</w:t>
            </w:r>
          </w:p>
          <w:p>
            <w:pPr>
              <w:jc w:val="center"/>
              <w:rPr>
                <w:rFonts w:asciiTheme="majorBidi" w:hAnsiTheme="majorBidi" w:cstheme="majorBidi"/>
                <w:b/>
                <w:bCs/>
                <w:sz w:val="18"/>
                <w:szCs w:val="18"/>
              </w:rPr>
            </w:pPr>
            <w:r>
              <w:rPr>
                <w:rFonts w:asciiTheme="majorBidi" w:hAnsiTheme="majorBidi" w:cstheme="majorBidi"/>
                <w:b/>
                <w:bCs/>
                <w:sz w:val="18"/>
                <w:szCs w:val="18"/>
              </w:rPr>
              <w:t>λ(W/m.K)</w:t>
            </w:r>
          </w:p>
        </w:tc>
        <w:tc>
          <w:tcPr>
            <w:tcW w:w="1276" w:type="dxa"/>
            <w:vAlign w:val="center"/>
          </w:tcPr>
          <w:p>
            <w:pPr>
              <w:jc w:val="center"/>
              <w:rPr>
                <w:rFonts w:asciiTheme="majorBidi" w:hAnsiTheme="majorBidi" w:cstheme="majorBidi"/>
                <w:b/>
                <w:bCs/>
                <w:sz w:val="18"/>
                <w:szCs w:val="18"/>
              </w:rPr>
            </w:pPr>
            <w:r>
              <w:rPr>
                <w:rFonts w:asciiTheme="majorBidi" w:hAnsiTheme="majorBidi" w:cstheme="majorBidi"/>
                <w:b/>
                <w:bCs/>
                <w:sz w:val="18"/>
                <w:szCs w:val="18"/>
              </w:rPr>
              <w:t>Thermal capacity</w:t>
            </w:r>
          </w:p>
          <w:p>
            <w:pPr>
              <w:jc w:val="center"/>
              <w:rPr>
                <w:rFonts w:asciiTheme="majorBidi" w:hAnsiTheme="majorBidi" w:cstheme="majorBidi"/>
                <w:b/>
                <w:bCs/>
                <w:sz w:val="18"/>
                <w:szCs w:val="18"/>
              </w:rPr>
            </w:pPr>
            <w:r>
              <w:rPr>
                <w:rFonts w:asciiTheme="majorBidi" w:hAnsiTheme="majorBidi" w:cstheme="majorBidi"/>
                <w:b/>
                <w:bCs/>
                <w:sz w:val="18"/>
                <w:szCs w:val="18"/>
              </w:rPr>
              <w:t>(KJ/Kg.K)</w:t>
            </w:r>
          </w:p>
        </w:tc>
        <w:tc>
          <w:tcPr>
            <w:tcW w:w="1134" w:type="dxa"/>
            <w:vAlign w:val="center"/>
          </w:tcPr>
          <w:p>
            <w:pPr>
              <w:jc w:val="center"/>
              <w:rPr>
                <w:rFonts w:asciiTheme="majorBidi" w:hAnsiTheme="majorBidi" w:cstheme="majorBidi"/>
                <w:b/>
                <w:bCs/>
                <w:sz w:val="18"/>
                <w:szCs w:val="18"/>
              </w:rPr>
            </w:pPr>
            <w:r>
              <w:rPr>
                <w:rFonts w:asciiTheme="majorBidi" w:hAnsiTheme="majorBidi" w:cstheme="majorBidi"/>
                <w:b/>
                <w:bCs/>
                <w:sz w:val="18"/>
                <w:szCs w:val="18"/>
              </w:rPr>
              <w:t>Density</w:t>
            </w:r>
          </w:p>
          <w:p>
            <w:pPr>
              <w:jc w:val="center"/>
              <w:rPr>
                <w:rFonts w:asciiTheme="majorBidi" w:hAnsiTheme="majorBidi" w:cstheme="majorBidi"/>
                <w:b/>
                <w:bCs/>
                <w:sz w:val="18"/>
                <w:szCs w:val="18"/>
              </w:rPr>
            </w:pPr>
            <w:r>
              <w:rPr>
                <w:rFonts w:asciiTheme="majorBidi" w:hAnsiTheme="majorBidi" w:cstheme="majorBidi"/>
                <w:b/>
                <w:bCs/>
                <w:sz w:val="18"/>
                <w:szCs w:val="18"/>
              </w:rPr>
              <w:t>(Kg/m</w:t>
            </w:r>
            <w:r>
              <w:rPr>
                <w:rFonts w:asciiTheme="majorBidi" w:hAnsiTheme="majorBidi" w:cstheme="majorBidi"/>
                <w:b/>
                <w:bCs/>
                <w:sz w:val="18"/>
                <w:szCs w:val="18"/>
                <w:vertAlign w:val="superscript"/>
              </w:rPr>
              <w:t>3</w:t>
            </w:r>
            <w:r>
              <w:rPr>
                <w:rFonts w:asciiTheme="majorBidi" w:hAnsiTheme="majorBidi" w:cstheme="majorBidi"/>
                <w:b/>
                <w:bCs/>
                <w:sz w:val="18"/>
                <w:szCs w:val="18"/>
              </w:rPr>
              <w:t>)</w:t>
            </w:r>
          </w:p>
        </w:tc>
        <w:tc>
          <w:tcPr>
            <w:tcW w:w="1149" w:type="dxa"/>
            <w:vAlign w:val="center"/>
          </w:tcPr>
          <w:p>
            <w:pPr>
              <w:jc w:val="center"/>
              <w:rPr>
                <w:rFonts w:asciiTheme="majorBidi" w:hAnsiTheme="majorBidi" w:cstheme="majorBidi"/>
                <w:b/>
                <w:bCs/>
                <w:sz w:val="18"/>
                <w:szCs w:val="18"/>
              </w:rPr>
            </w:pPr>
            <w:r>
              <w:rPr>
                <w:rFonts w:asciiTheme="majorBidi" w:hAnsiTheme="majorBidi" w:cstheme="majorBidi"/>
                <w:b/>
                <w:bCs/>
                <w:sz w:val="18"/>
                <w:szCs w:val="18"/>
              </w:rPr>
              <w:t>Thickness</w:t>
            </w:r>
          </w:p>
          <w:p>
            <w:pPr>
              <w:jc w:val="center"/>
              <w:rPr>
                <w:rFonts w:asciiTheme="majorBidi" w:hAnsiTheme="majorBidi" w:cstheme="majorBidi"/>
                <w:b/>
                <w:bCs/>
                <w:sz w:val="18"/>
                <w:szCs w:val="18"/>
              </w:rPr>
            </w:pPr>
            <w:r>
              <w:rPr>
                <w:rFonts w:asciiTheme="majorBidi" w:hAnsiTheme="majorBidi" w:cstheme="majorBidi"/>
                <w:b/>
                <w:bCs/>
                <w:sz w:val="18"/>
                <w:szCs w:val="18"/>
              </w:rPr>
              <w:t>(mm)</w:t>
            </w:r>
          </w:p>
        </w:tc>
        <w:tc>
          <w:tcPr>
            <w:tcW w:w="972" w:type="dxa"/>
          </w:tcPr>
          <w:p>
            <w:pPr>
              <w:jc w:val="center"/>
              <w:rPr>
                <w:rFonts w:asciiTheme="majorBidi" w:hAnsiTheme="majorBidi" w:cstheme="majorBidi"/>
                <w:b/>
                <w:bCs/>
                <w:sz w:val="18"/>
                <w:szCs w:val="18"/>
              </w:rPr>
            </w:pPr>
            <w:r>
              <w:rPr>
                <w:rFonts w:asciiTheme="majorBidi" w:hAnsiTheme="majorBidi" w:cstheme="majorBidi"/>
                <w:b/>
                <w:bCs/>
                <w:sz w:val="18"/>
                <w:szCs w:val="18"/>
              </w:rPr>
              <w:t>Total U Value (W/m².K)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82" w:type="dxa"/>
            <w:vMerge w:val="restart"/>
            <w:vAlign w:val="center"/>
          </w:tcPr>
          <w:p>
            <w:pPr>
              <w:jc w:val="center"/>
              <w:rPr>
                <w:rFonts w:asciiTheme="majorBidi" w:hAnsiTheme="majorBidi" w:cstheme="majorBidi"/>
                <w:sz w:val="18"/>
                <w:szCs w:val="18"/>
              </w:rPr>
            </w:pPr>
            <w:r>
              <w:rPr>
                <w:rFonts w:asciiTheme="majorBidi" w:hAnsiTheme="majorBidi" w:cstheme="majorBidi"/>
                <w:sz w:val="18"/>
                <w:szCs w:val="18"/>
              </w:rPr>
              <w:t>External Wall</w:t>
            </w:r>
          </w:p>
        </w:tc>
        <w:tc>
          <w:tcPr>
            <w:tcW w:w="1574" w:type="dxa"/>
            <w:vAlign w:val="center"/>
          </w:tcPr>
          <w:p>
            <w:pPr>
              <w:jc w:val="center"/>
              <w:rPr>
                <w:rFonts w:asciiTheme="majorBidi" w:hAnsiTheme="majorBidi" w:cstheme="majorBidi"/>
                <w:sz w:val="18"/>
                <w:szCs w:val="18"/>
              </w:rPr>
            </w:pPr>
            <w:r>
              <w:rPr>
                <w:rFonts w:asciiTheme="majorBidi" w:hAnsiTheme="majorBidi" w:cstheme="majorBidi"/>
                <w:sz w:val="18"/>
                <w:szCs w:val="18"/>
              </w:rPr>
              <w:t>External plaster</w:t>
            </w:r>
          </w:p>
        </w:tc>
        <w:tc>
          <w:tcPr>
            <w:tcW w:w="1275" w:type="dxa"/>
            <w:vAlign w:val="center"/>
          </w:tcPr>
          <w:p>
            <w:pPr>
              <w:jc w:val="center"/>
              <w:rPr>
                <w:rFonts w:asciiTheme="majorBidi" w:hAnsiTheme="majorBidi" w:cstheme="majorBidi"/>
                <w:sz w:val="18"/>
                <w:szCs w:val="18"/>
              </w:rPr>
            </w:pPr>
            <w:r>
              <w:rPr>
                <w:rFonts w:asciiTheme="majorBidi" w:hAnsiTheme="majorBidi" w:cstheme="majorBidi"/>
                <w:sz w:val="18"/>
                <w:szCs w:val="18"/>
              </w:rPr>
              <w:t>1.15</w:t>
            </w:r>
          </w:p>
        </w:tc>
        <w:tc>
          <w:tcPr>
            <w:tcW w:w="1276" w:type="dxa"/>
            <w:vAlign w:val="center"/>
          </w:tcPr>
          <w:p>
            <w:pPr>
              <w:jc w:val="center"/>
              <w:rPr>
                <w:rFonts w:asciiTheme="majorBidi" w:hAnsiTheme="majorBidi" w:cstheme="majorBidi"/>
                <w:sz w:val="18"/>
                <w:szCs w:val="18"/>
              </w:rPr>
            </w:pPr>
            <w:r>
              <w:rPr>
                <w:rFonts w:asciiTheme="majorBidi" w:hAnsiTheme="majorBidi" w:cstheme="majorBidi"/>
                <w:sz w:val="18"/>
                <w:szCs w:val="18"/>
              </w:rPr>
              <w:t>1.34</w:t>
            </w:r>
          </w:p>
        </w:tc>
        <w:tc>
          <w:tcPr>
            <w:tcW w:w="1134" w:type="dxa"/>
            <w:vAlign w:val="center"/>
          </w:tcPr>
          <w:p>
            <w:pPr>
              <w:jc w:val="center"/>
              <w:rPr>
                <w:rFonts w:asciiTheme="majorBidi" w:hAnsiTheme="majorBidi" w:cstheme="majorBidi"/>
                <w:sz w:val="18"/>
                <w:szCs w:val="18"/>
              </w:rPr>
            </w:pPr>
            <w:r>
              <w:rPr>
                <w:rFonts w:asciiTheme="majorBidi" w:hAnsiTheme="majorBidi" w:cstheme="majorBidi"/>
                <w:sz w:val="18"/>
                <w:szCs w:val="18"/>
              </w:rPr>
              <w:t>1800</w:t>
            </w:r>
          </w:p>
        </w:tc>
        <w:tc>
          <w:tcPr>
            <w:tcW w:w="1149" w:type="dxa"/>
            <w:vAlign w:val="center"/>
          </w:tcPr>
          <w:p>
            <w:pPr>
              <w:jc w:val="center"/>
              <w:rPr>
                <w:rFonts w:asciiTheme="majorBidi" w:hAnsiTheme="majorBidi" w:cstheme="majorBidi"/>
                <w:sz w:val="18"/>
                <w:szCs w:val="18"/>
              </w:rPr>
            </w:pPr>
            <w:r>
              <w:rPr>
                <w:rFonts w:asciiTheme="majorBidi" w:hAnsiTheme="majorBidi" w:cstheme="majorBidi"/>
                <w:sz w:val="18"/>
                <w:szCs w:val="18"/>
              </w:rPr>
              <w:t>10</w:t>
            </w:r>
          </w:p>
        </w:tc>
        <w:tc>
          <w:tcPr>
            <w:tcW w:w="972" w:type="dxa"/>
            <w:vMerge w:val="restart"/>
            <w:vAlign w:val="center"/>
          </w:tcPr>
          <w:p>
            <w:pPr>
              <w:jc w:val="center"/>
              <w:rPr>
                <w:rFonts w:asciiTheme="majorBidi" w:hAnsiTheme="majorBidi" w:cstheme="majorBidi"/>
                <w:sz w:val="18"/>
                <w:szCs w:val="18"/>
              </w:rPr>
            </w:pPr>
            <w:r>
              <w:rPr>
                <w:rFonts w:asciiTheme="majorBidi" w:hAnsiTheme="majorBidi" w:cstheme="majorBidi"/>
                <w:sz w:val="18"/>
                <w:szCs w:val="18"/>
              </w:rPr>
              <w:t>1.57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82" w:type="dxa"/>
            <w:vMerge w:val="continue"/>
            <w:vAlign w:val="center"/>
          </w:tcPr>
          <w:p>
            <w:pPr>
              <w:jc w:val="center"/>
              <w:rPr>
                <w:rFonts w:asciiTheme="majorBidi" w:hAnsiTheme="majorBidi" w:cstheme="majorBidi"/>
                <w:sz w:val="18"/>
                <w:szCs w:val="18"/>
              </w:rPr>
            </w:pPr>
          </w:p>
        </w:tc>
        <w:tc>
          <w:tcPr>
            <w:tcW w:w="1574" w:type="dxa"/>
            <w:vAlign w:val="center"/>
          </w:tcPr>
          <w:p>
            <w:pPr>
              <w:jc w:val="center"/>
              <w:rPr>
                <w:rFonts w:asciiTheme="majorBidi" w:hAnsiTheme="majorBidi" w:cstheme="majorBidi"/>
                <w:sz w:val="18"/>
                <w:szCs w:val="18"/>
              </w:rPr>
            </w:pPr>
            <w:r>
              <w:rPr>
                <w:rFonts w:asciiTheme="majorBidi" w:hAnsiTheme="majorBidi" w:cstheme="majorBidi"/>
                <w:sz w:val="18"/>
                <w:szCs w:val="18"/>
              </w:rPr>
              <w:t>Hollow brick</w:t>
            </w:r>
          </w:p>
        </w:tc>
        <w:tc>
          <w:tcPr>
            <w:tcW w:w="1275" w:type="dxa"/>
            <w:vAlign w:val="center"/>
          </w:tcPr>
          <w:p>
            <w:pPr>
              <w:jc w:val="center"/>
              <w:rPr>
                <w:rFonts w:asciiTheme="majorBidi" w:hAnsiTheme="majorBidi" w:cstheme="majorBidi"/>
                <w:sz w:val="18"/>
                <w:szCs w:val="18"/>
              </w:rPr>
            </w:pPr>
            <w:r>
              <w:rPr>
                <w:rFonts w:asciiTheme="majorBidi" w:hAnsiTheme="majorBidi" w:cstheme="majorBidi"/>
                <w:sz w:val="18"/>
                <w:szCs w:val="18"/>
              </w:rPr>
              <w:t>0.34</w:t>
            </w:r>
          </w:p>
        </w:tc>
        <w:tc>
          <w:tcPr>
            <w:tcW w:w="1276" w:type="dxa"/>
            <w:vAlign w:val="center"/>
          </w:tcPr>
          <w:p>
            <w:pPr>
              <w:jc w:val="center"/>
              <w:rPr>
                <w:rFonts w:asciiTheme="majorBidi" w:hAnsiTheme="majorBidi" w:cstheme="majorBidi"/>
                <w:sz w:val="18"/>
                <w:szCs w:val="18"/>
              </w:rPr>
            </w:pPr>
            <w:r>
              <w:rPr>
                <w:rFonts w:asciiTheme="majorBidi" w:hAnsiTheme="majorBidi" w:cstheme="majorBidi"/>
                <w:sz w:val="18"/>
                <w:szCs w:val="18"/>
              </w:rPr>
              <w:t>0.84</w:t>
            </w:r>
          </w:p>
        </w:tc>
        <w:tc>
          <w:tcPr>
            <w:tcW w:w="1134" w:type="dxa"/>
            <w:vAlign w:val="center"/>
          </w:tcPr>
          <w:p>
            <w:pPr>
              <w:jc w:val="center"/>
              <w:rPr>
                <w:rFonts w:asciiTheme="majorBidi" w:hAnsiTheme="majorBidi" w:cstheme="majorBidi"/>
                <w:sz w:val="18"/>
                <w:szCs w:val="18"/>
              </w:rPr>
            </w:pPr>
            <w:r>
              <w:rPr>
                <w:rFonts w:asciiTheme="majorBidi" w:hAnsiTheme="majorBidi" w:cstheme="majorBidi"/>
                <w:sz w:val="18"/>
                <w:szCs w:val="18"/>
              </w:rPr>
              <w:t>1920</w:t>
            </w:r>
          </w:p>
        </w:tc>
        <w:tc>
          <w:tcPr>
            <w:tcW w:w="1149" w:type="dxa"/>
            <w:vAlign w:val="center"/>
          </w:tcPr>
          <w:p>
            <w:pPr>
              <w:jc w:val="center"/>
              <w:rPr>
                <w:rFonts w:asciiTheme="majorBidi" w:hAnsiTheme="majorBidi" w:cstheme="majorBidi"/>
                <w:sz w:val="18"/>
                <w:szCs w:val="18"/>
              </w:rPr>
            </w:pPr>
            <w:r>
              <w:rPr>
                <w:rFonts w:asciiTheme="majorBidi" w:hAnsiTheme="majorBidi" w:cstheme="majorBidi"/>
                <w:sz w:val="18"/>
                <w:szCs w:val="18"/>
              </w:rPr>
              <w:t>150</w:t>
            </w:r>
          </w:p>
        </w:tc>
        <w:tc>
          <w:tcPr>
            <w:tcW w:w="972" w:type="dxa"/>
            <w:vMerge w:val="continue"/>
            <w:vAlign w:val="center"/>
          </w:tcPr>
          <w:p>
            <w:pPr>
              <w:jc w:val="center"/>
              <w:rPr>
                <w:rFonts w:asciiTheme="majorBidi" w:hAnsiTheme="majorBidi" w:cstheme="majorBidi"/>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82" w:type="dxa"/>
            <w:vMerge w:val="continue"/>
            <w:vAlign w:val="center"/>
          </w:tcPr>
          <w:p>
            <w:pPr>
              <w:jc w:val="center"/>
              <w:rPr>
                <w:rFonts w:asciiTheme="majorBidi" w:hAnsiTheme="majorBidi" w:cstheme="majorBidi"/>
                <w:sz w:val="18"/>
                <w:szCs w:val="18"/>
              </w:rPr>
            </w:pPr>
            <w:bookmarkStart w:id="7" w:name="_Hlk97208120"/>
          </w:p>
        </w:tc>
        <w:tc>
          <w:tcPr>
            <w:tcW w:w="1574" w:type="dxa"/>
            <w:vAlign w:val="center"/>
          </w:tcPr>
          <w:p>
            <w:pPr>
              <w:jc w:val="center"/>
              <w:rPr>
                <w:rFonts w:asciiTheme="majorBidi" w:hAnsiTheme="majorBidi" w:cstheme="majorBidi"/>
                <w:sz w:val="18"/>
                <w:szCs w:val="18"/>
              </w:rPr>
            </w:pPr>
            <w:r>
              <w:rPr>
                <w:rFonts w:asciiTheme="majorBidi" w:hAnsiTheme="majorBidi" w:cstheme="majorBidi"/>
                <w:sz w:val="18"/>
                <w:szCs w:val="18"/>
              </w:rPr>
              <w:t>Plaster</w:t>
            </w:r>
          </w:p>
        </w:tc>
        <w:tc>
          <w:tcPr>
            <w:tcW w:w="1275" w:type="dxa"/>
            <w:vAlign w:val="center"/>
          </w:tcPr>
          <w:p>
            <w:pPr>
              <w:jc w:val="center"/>
              <w:rPr>
                <w:rFonts w:asciiTheme="majorBidi" w:hAnsiTheme="majorBidi" w:cstheme="majorBidi"/>
                <w:sz w:val="18"/>
                <w:szCs w:val="18"/>
              </w:rPr>
            </w:pPr>
            <w:r>
              <w:rPr>
                <w:rFonts w:asciiTheme="majorBidi" w:hAnsiTheme="majorBidi" w:cstheme="majorBidi"/>
                <w:sz w:val="18"/>
                <w:szCs w:val="18"/>
              </w:rPr>
              <w:t>0.57</w:t>
            </w:r>
          </w:p>
        </w:tc>
        <w:tc>
          <w:tcPr>
            <w:tcW w:w="1276" w:type="dxa"/>
            <w:vAlign w:val="center"/>
          </w:tcPr>
          <w:p>
            <w:pPr>
              <w:jc w:val="center"/>
              <w:rPr>
                <w:rFonts w:asciiTheme="majorBidi" w:hAnsiTheme="majorBidi" w:cstheme="majorBidi"/>
                <w:sz w:val="18"/>
                <w:szCs w:val="18"/>
              </w:rPr>
            </w:pPr>
            <w:r>
              <w:rPr>
                <w:rFonts w:asciiTheme="majorBidi" w:hAnsiTheme="majorBidi" w:cstheme="majorBidi"/>
                <w:sz w:val="18"/>
                <w:szCs w:val="18"/>
              </w:rPr>
              <w:t>1.34</w:t>
            </w:r>
          </w:p>
        </w:tc>
        <w:tc>
          <w:tcPr>
            <w:tcW w:w="1134" w:type="dxa"/>
            <w:vAlign w:val="center"/>
          </w:tcPr>
          <w:p>
            <w:pPr>
              <w:jc w:val="center"/>
              <w:rPr>
                <w:rFonts w:asciiTheme="majorBidi" w:hAnsiTheme="majorBidi" w:cstheme="majorBidi"/>
                <w:sz w:val="18"/>
                <w:szCs w:val="18"/>
              </w:rPr>
            </w:pPr>
            <w:r>
              <w:rPr>
                <w:rFonts w:asciiTheme="majorBidi" w:hAnsiTheme="majorBidi" w:cstheme="majorBidi"/>
                <w:sz w:val="18"/>
                <w:szCs w:val="18"/>
              </w:rPr>
              <w:t>720</w:t>
            </w:r>
          </w:p>
        </w:tc>
        <w:tc>
          <w:tcPr>
            <w:tcW w:w="1149" w:type="dxa"/>
            <w:vAlign w:val="center"/>
          </w:tcPr>
          <w:p>
            <w:pPr>
              <w:jc w:val="center"/>
              <w:rPr>
                <w:rFonts w:asciiTheme="majorBidi" w:hAnsiTheme="majorBidi" w:cstheme="majorBidi"/>
                <w:sz w:val="18"/>
                <w:szCs w:val="18"/>
              </w:rPr>
            </w:pPr>
            <w:r>
              <w:rPr>
                <w:rFonts w:asciiTheme="majorBidi" w:hAnsiTheme="majorBidi" w:cstheme="majorBidi"/>
                <w:sz w:val="18"/>
                <w:szCs w:val="18"/>
              </w:rPr>
              <w:t>10</w:t>
            </w:r>
          </w:p>
        </w:tc>
        <w:tc>
          <w:tcPr>
            <w:tcW w:w="972" w:type="dxa"/>
            <w:vMerge w:val="continue"/>
            <w:vAlign w:val="center"/>
          </w:tcPr>
          <w:p>
            <w:pPr>
              <w:jc w:val="center"/>
              <w:rPr>
                <w:rFonts w:asciiTheme="majorBidi" w:hAnsiTheme="majorBidi" w:cstheme="majorBidi"/>
                <w:sz w:val="18"/>
                <w:szCs w:val="18"/>
              </w:rPr>
            </w:pPr>
          </w:p>
        </w:tc>
      </w:tr>
      <w:bookmarkEnd w:id="7"/>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82" w:type="dxa"/>
            <w:vMerge w:val="restart"/>
            <w:vAlign w:val="center"/>
          </w:tcPr>
          <w:p>
            <w:pPr>
              <w:jc w:val="center"/>
              <w:rPr>
                <w:rFonts w:asciiTheme="majorBidi" w:hAnsiTheme="majorBidi" w:cstheme="majorBidi"/>
                <w:sz w:val="18"/>
                <w:szCs w:val="18"/>
              </w:rPr>
            </w:pPr>
            <w:r>
              <w:rPr>
                <w:rFonts w:asciiTheme="majorBidi" w:hAnsiTheme="majorBidi" w:cstheme="majorBidi"/>
                <w:sz w:val="18"/>
                <w:szCs w:val="18"/>
              </w:rPr>
              <w:t>Internal wall</w:t>
            </w:r>
          </w:p>
        </w:tc>
        <w:tc>
          <w:tcPr>
            <w:tcW w:w="1574" w:type="dxa"/>
            <w:vAlign w:val="center"/>
          </w:tcPr>
          <w:p>
            <w:pPr>
              <w:jc w:val="center"/>
              <w:rPr>
                <w:rFonts w:asciiTheme="majorBidi" w:hAnsiTheme="majorBidi" w:cstheme="majorBidi"/>
                <w:sz w:val="18"/>
                <w:szCs w:val="18"/>
              </w:rPr>
            </w:pPr>
            <w:r>
              <w:rPr>
                <w:rFonts w:asciiTheme="majorBidi" w:hAnsiTheme="majorBidi" w:cstheme="majorBidi"/>
                <w:sz w:val="18"/>
                <w:szCs w:val="18"/>
              </w:rPr>
              <w:t>Plaster</w:t>
            </w:r>
          </w:p>
        </w:tc>
        <w:tc>
          <w:tcPr>
            <w:tcW w:w="1275" w:type="dxa"/>
            <w:vAlign w:val="center"/>
          </w:tcPr>
          <w:p>
            <w:pPr>
              <w:jc w:val="center"/>
              <w:rPr>
                <w:rFonts w:asciiTheme="majorBidi" w:hAnsiTheme="majorBidi" w:cstheme="majorBidi"/>
                <w:sz w:val="18"/>
                <w:szCs w:val="18"/>
              </w:rPr>
            </w:pPr>
            <w:r>
              <w:rPr>
                <w:rFonts w:asciiTheme="majorBidi" w:hAnsiTheme="majorBidi" w:cstheme="majorBidi"/>
                <w:sz w:val="18"/>
                <w:szCs w:val="18"/>
              </w:rPr>
              <w:t>0.57</w:t>
            </w:r>
          </w:p>
        </w:tc>
        <w:tc>
          <w:tcPr>
            <w:tcW w:w="1276" w:type="dxa"/>
            <w:vAlign w:val="center"/>
          </w:tcPr>
          <w:p>
            <w:pPr>
              <w:jc w:val="center"/>
              <w:rPr>
                <w:rFonts w:asciiTheme="majorBidi" w:hAnsiTheme="majorBidi" w:cstheme="majorBidi"/>
                <w:sz w:val="18"/>
                <w:szCs w:val="18"/>
              </w:rPr>
            </w:pPr>
            <w:r>
              <w:rPr>
                <w:rFonts w:asciiTheme="majorBidi" w:hAnsiTheme="majorBidi" w:cstheme="majorBidi"/>
                <w:sz w:val="18"/>
                <w:szCs w:val="18"/>
              </w:rPr>
              <w:t>1.34</w:t>
            </w:r>
          </w:p>
        </w:tc>
        <w:tc>
          <w:tcPr>
            <w:tcW w:w="1134" w:type="dxa"/>
            <w:vAlign w:val="center"/>
          </w:tcPr>
          <w:p>
            <w:pPr>
              <w:jc w:val="center"/>
              <w:rPr>
                <w:rFonts w:asciiTheme="majorBidi" w:hAnsiTheme="majorBidi" w:cstheme="majorBidi"/>
                <w:sz w:val="18"/>
                <w:szCs w:val="18"/>
              </w:rPr>
            </w:pPr>
            <w:r>
              <w:rPr>
                <w:rFonts w:asciiTheme="majorBidi" w:hAnsiTheme="majorBidi" w:cstheme="majorBidi"/>
                <w:sz w:val="18"/>
                <w:szCs w:val="18"/>
              </w:rPr>
              <w:t>720</w:t>
            </w:r>
          </w:p>
        </w:tc>
        <w:tc>
          <w:tcPr>
            <w:tcW w:w="1149" w:type="dxa"/>
            <w:vAlign w:val="center"/>
          </w:tcPr>
          <w:p>
            <w:pPr>
              <w:jc w:val="center"/>
              <w:rPr>
                <w:rFonts w:asciiTheme="majorBidi" w:hAnsiTheme="majorBidi" w:cstheme="majorBidi"/>
                <w:sz w:val="18"/>
                <w:szCs w:val="18"/>
              </w:rPr>
            </w:pPr>
            <w:r>
              <w:rPr>
                <w:rFonts w:asciiTheme="majorBidi" w:hAnsiTheme="majorBidi" w:cstheme="majorBidi"/>
                <w:sz w:val="18"/>
                <w:szCs w:val="18"/>
              </w:rPr>
              <w:t>10</w:t>
            </w:r>
          </w:p>
        </w:tc>
        <w:tc>
          <w:tcPr>
            <w:tcW w:w="972" w:type="dxa"/>
            <w:vMerge w:val="restart"/>
            <w:vAlign w:val="center"/>
          </w:tcPr>
          <w:p>
            <w:pPr>
              <w:jc w:val="center"/>
              <w:rPr>
                <w:rFonts w:asciiTheme="majorBidi" w:hAnsiTheme="majorBidi" w:cstheme="majorBidi"/>
                <w:sz w:val="18"/>
                <w:szCs w:val="18"/>
              </w:rPr>
            </w:pPr>
            <w:r>
              <w:rPr>
                <w:rFonts w:asciiTheme="majorBidi" w:hAnsiTheme="majorBidi" w:cstheme="majorBidi"/>
                <w:sz w:val="18"/>
                <w:szCs w:val="18"/>
              </w:rPr>
              <w:t>1.85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82" w:type="dxa"/>
            <w:vMerge w:val="continue"/>
            <w:vAlign w:val="center"/>
          </w:tcPr>
          <w:p>
            <w:pPr>
              <w:jc w:val="center"/>
              <w:rPr>
                <w:rFonts w:asciiTheme="majorBidi" w:hAnsiTheme="majorBidi" w:cstheme="majorBidi"/>
                <w:sz w:val="18"/>
                <w:szCs w:val="18"/>
              </w:rPr>
            </w:pPr>
          </w:p>
        </w:tc>
        <w:tc>
          <w:tcPr>
            <w:tcW w:w="1574" w:type="dxa"/>
            <w:vAlign w:val="center"/>
          </w:tcPr>
          <w:p>
            <w:pPr>
              <w:jc w:val="center"/>
              <w:rPr>
                <w:rFonts w:asciiTheme="majorBidi" w:hAnsiTheme="majorBidi" w:cstheme="majorBidi"/>
                <w:sz w:val="18"/>
                <w:szCs w:val="18"/>
              </w:rPr>
            </w:pPr>
            <w:r>
              <w:rPr>
                <w:rFonts w:asciiTheme="majorBidi" w:hAnsiTheme="majorBidi" w:cstheme="majorBidi"/>
                <w:sz w:val="18"/>
                <w:szCs w:val="18"/>
              </w:rPr>
              <w:t>Hollow brick</w:t>
            </w:r>
          </w:p>
        </w:tc>
        <w:tc>
          <w:tcPr>
            <w:tcW w:w="1275" w:type="dxa"/>
            <w:vAlign w:val="center"/>
          </w:tcPr>
          <w:p>
            <w:pPr>
              <w:jc w:val="center"/>
              <w:rPr>
                <w:rFonts w:asciiTheme="majorBidi" w:hAnsiTheme="majorBidi" w:cstheme="majorBidi"/>
                <w:sz w:val="18"/>
                <w:szCs w:val="18"/>
              </w:rPr>
            </w:pPr>
            <w:r>
              <w:rPr>
                <w:rFonts w:asciiTheme="majorBidi" w:hAnsiTheme="majorBidi" w:cstheme="majorBidi"/>
                <w:sz w:val="18"/>
                <w:szCs w:val="18"/>
              </w:rPr>
              <w:t>0.35</w:t>
            </w:r>
          </w:p>
        </w:tc>
        <w:tc>
          <w:tcPr>
            <w:tcW w:w="1276" w:type="dxa"/>
            <w:vAlign w:val="center"/>
          </w:tcPr>
          <w:p>
            <w:pPr>
              <w:jc w:val="center"/>
              <w:rPr>
                <w:rFonts w:asciiTheme="majorBidi" w:hAnsiTheme="majorBidi" w:cstheme="majorBidi"/>
                <w:sz w:val="18"/>
                <w:szCs w:val="18"/>
              </w:rPr>
            </w:pPr>
            <w:r>
              <w:rPr>
                <w:rFonts w:asciiTheme="majorBidi" w:hAnsiTheme="majorBidi" w:cstheme="majorBidi"/>
                <w:sz w:val="18"/>
                <w:szCs w:val="18"/>
              </w:rPr>
              <w:t>0.84</w:t>
            </w:r>
          </w:p>
        </w:tc>
        <w:tc>
          <w:tcPr>
            <w:tcW w:w="1134" w:type="dxa"/>
            <w:vAlign w:val="center"/>
          </w:tcPr>
          <w:p>
            <w:pPr>
              <w:jc w:val="center"/>
              <w:rPr>
                <w:rFonts w:asciiTheme="majorBidi" w:hAnsiTheme="majorBidi" w:cstheme="majorBidi"/>
                <w:sz w:val="18"/>
                <w:szCs w:val="18"/>
              </w:rPr>
            </w:pPr>
            <w:r>
              <w:rPr>
                <w:rFonts w:asciiTheme="majorBidi" w:hAnsiTheme="majorBidi" w:cstheme="majorBidi"/>
                <w:sz w:val="18"/>
                <w:szCs w:val="18"/>
              </w:rPr>
              <w:t>1920</w:t>
            </w:r>
          </w:p>
        </w:tc>
        <w:tc>
          <w:tcPr>
            <w:tcW w:w="1149" w:type="dxa"/>
            <w:vAlign w:val="center"/>
          </w:tcPr>
          <w:p>
            <w:pPr>
              <w:jc w:val="center"/>
              <w:rPr>
                <w:rFonts w:asciiTheme="majorBidi" w:hAnsiTheme="majorBidi" w:cstheme="majorBidi"/>
                <w:sz w:val="18"/>
                <w:szCs w:val="18"/>
              </w:rPr>
            </w:pPr>
            <w:r>
              <w:rPr>
                <w:rFonts w:asciiTheme="majorBidi" w:hAnsiTheme="majorBidi" w:cstheme="majorBidi"/>
                <w:sz w:val="18"/>
                <w:szCs w:val="18"/>
              </w:rPr>
              <w:t>100</w:t>
            </w:r>
          </w:p>
        </w:tc>
        <w:tc>
          <w:tcPr>
            <w:tcW w:w="972" w:type="dxa"/>
            <w:vMerge w:val="continue"/>
            <w:vAlign w:val="center"/>
          </w:tcPr>
          <w:p>
            <w:pPr>
              <w:jc w:val="center"/>
              <w:rPr>
                <w:rFonts w:asciiTheme="majorBidi" w:hAnsiTheme="majorBidi" w:cstheme="majorBidi"/>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82" w:type="dxa"/>
            <w:vMerge w:val="continue"/>
            <w:vAlign w:val="center"/>
          </w:tcPr>
          <w:p>
            <w:pPr>
              <w:jc w:val="center"/>
              <w:rPr>
                <w:rFonts w:asciiTheme="majorBidi" w:hAnsiTheme="majorBidi" w:cstheme="majorBidi"/>
                <w:sz w:val="18"/>
                <w:szCs w:val="18"/>
              </w:rPr>
            </w:pPr>
          </w:p>
        </w:tc>
        <w:tc>
          <w:tcPr>
            <w:tcW w:w="1574" w:type="dxa"/>
            <w:vAlign w:val="center"/>
          </w:tcPr>
          <w:p>
            <w:pPr>
              <w:jc w:val="center"/>
              <w:rPr>
                <w:rFonts w:asciiTheme="majorBidi" w:hAnsiTheme="majorBidi" w:cstheme="majorBidi"/>
                <w:sz w:val="18"/>
                <w:szCs w:val="18"/>
              </w:rPr>
            </w:pPr>
            <w:r>
              <w:rPr>
                <w:rFonts w:asciiTheme="majorBidi" w:hAnsiTheme="majorBidi" w:cstheme="majorBidi"/>
                <w:sz w:val="18"/>
                <w:szCs w:val="18"/>
              </w:rPr>
              <w:t>Plaster</w:t>
            </w:r>
          </w:p>
        </w:tc>
        <w:tc>
          <w:tcPr>
            <w:tcW w:w="1275" w:type="dxa"/>
            <w:vAlign w:val="center"/>
          </w:tcPr>
          <w:p>
            <w:pPr>
              <w:jc w:val="center"/>
              <w:rPr>
                <w:rFonts w:asciiTheme="majorBidi" w:hAnsiTheme="majorBidi" w:cstheme="majorBidi"/>
                <w:sz w:val="18"/>
                <w:szCs w:val="18"/>
              </w:rPr>
            </w:pPr>
            <w:r>
              <w:rPr>
                <w:rFonts w:asciiTheme="majorBidi" w:hAnsiTheme="majorBidi" w:cstheme="majorBidi"/>
                <w:sz w:val="18"/>
                <w:szCs w:val="18"/>
              </w:rPr>
              <w:t>0.57</w:t>
            </w:r>
          </w:p>
        </w:tc>
        <w:tc>
          <w:tcPr>
            <w:tcW w:w="1276" w:type="dxa"/>
            <w:vAlign w:val="center"/>
          </w:tcPr>
          <w:p>
            <w:pPr>
              <w:jc w:val="center"/>
              <w:rPr>
                <w:rFonts w:asciiTheme="majorBidi" w:hAnsiTheme="majorBidi" w:cstheme="majorBidi"/>
                <w:sz w:val="18"/>
                <w:szCs w:val="18"/>
              </w:rPr>
            </w:pPr>
            <w:r>
              <w:rPr>
                <w:rFonts w:asciiTheme="majorBidi" w:hAnsiTheme="majorBidi" w:cstheme="majorBidi"/>
                <w:sz w:val="18"/>
                <w:szCs w:val="18"/>
              </w:rPr>
              <w:t>1.34</w:t>
            </w:r>
          </w:p>
        </w:tc>
        <w:tc>
          <w:tcPr>
            <w:tcW w:w="1134" w:type="dxa"/>
            <w:vAlign w:val="center"/>
          </w:tcPr>
          <w:p>
            <w:pPr>
              <w:jc w:val="center"/>
              <w:rPr>
                <w:rFonts w:asciiTheme="majorBidi" w:hAnsiTheme="majorBidi" w:cstheme="majorBidi"/>
                <w:sz w:val="18"/>
                <w:szCs w:val="18"/>
              </w:rPr>
            </w:pPr>
            <w:r>
              <w:rPr>
                <w:rFonts w:asciiTheme="majorBidi" w:hAnsiTheme="majorBidi" w:cstheme="majorBidi"/>
                <w:sz w:val="18"/>
                <w:szCs w:val="18"/>
              </w:rPr>
              <w:t>720</w:t>
            </w:r>
          </w:p>
        </w:tc>
        <w:tc>
          <w:tcPr>
            <w:tcW w:w="1149" w:type="dxa"/>
            <w:vAlign w:val="center"/>
          </w:tcPr>
          <w:p>
            <w:pPr>
              <w:jc w:val="center"/>
              <w:rPr>
                <w:rFonts w:asciiTheme="majorBidi" w:hAnsiTheme="majorBidi" w:cstheme="majorBidi"/>
                <w:sz w:val="18"/>
                <w:szCs w:val="18"/>
              </w:rPr>
            </w:pPr>
            <w:r>
              <w:rPr>
                <w:rFonts w:asciiTheme="majorBidi" w:hAnsiTheme="majorBidi" w:cstheme="majorBidi"/>
                <w:sz w:val="18"/>
                <w:szCs w:val="18"/>
              </w:rPr>
              <w:t>10</w:t>
            </w:r>
          </w:p>
        </w:tc>
        <w:tc>
          <w:tcPr>
            <w:tcW w:w="972" w:type="dxa"/>
            <w:vMerge w:val="continue"/>
            <w:vAlign w:val="center"/>
          </w:tcPr>
          <w:p>
            <w:pPr>
              <w:jc w:val="center"/>
              <w:rPr>
                <w:rFonts w:asciiTheme="majorBidi" w:hAnsiTheme="majorBidi" w:cstheme="majorBidi"/>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82" w:type="dxa"/>
            <w:vMerge w:val="restart"/>
            <w:vAlign w:val="center"/>
          </w:tcPr>
          <w:p>
            <w:pPr>
              <w:jc w:val="center"/>
              <w:rPr>
                <w:rFonts w:asciiTheme="majorBidi" w:hAnsiTheme="majorBidi" w:cstheme="majorBidi"/>
                <w:sz w:val="18"/>
                <w:szCs w:val="18"/>
              </w:rPr>
            </w:pPr>
            <w:r>
              <w:rPr>
                <w:rFonts w:asciiTheme="majorBidi" w:hAnsiTheme="majorBidi" w:cstheme="majorBidi"/>
                <w:sz w:val="18"/>
                <w:szCs w:val="18"/>
              </w:rPr>
              <w:t>Ground</w:t>
            </w:r>
          </w:p>
        </w:tc>
        <w:tc>
          <w:tcPr>
            <w:tcW w:w="1574" w:type="dxa"/>
            <w:vAlign w:val="center"/>
          </w:tcPr>
          <w:p>
            <w:pPr>
              <w:jc w:val="center"/>
              <w:rPr>
                <w:rFonts w:asciiTheme="majorBidi" w:hAnsiTheme="majorBidi" w:cstheme="majorBidi"/>
                <w:sz w:val="18"/>
                <w:szCs w:val="18"/>
              </w:rPr>
            </w:pPr>
            <w:r>
              <w:rPr>
                <w:rFonts w:asciiTheme="majorBidi" w:hAnsiTheme="majorBidi" w:cstheme="majorBidi"/>
                <w:sz w:val="18"/>
                <w:szCs w:val="18"/>
              </w:rPr>
              <w:t>Concrete screed</w:t>
            </w:r>
          </w:p>
        </w:tc>
        <w:tc>
          <w:tcPr>
            <w:tcW w:w="1275" w:type="dxa"/>
            <w:vAlign w:val="center"/>
          </w:tcPr>
          <w:p>
            <w:pPr>
              <w:jc w:val="center"/>
              <w:rPr>
                <w:rFonts w:asciiTheme="majorBidi" w:hAnsiTheme="majorBidi" w:cstheme="majorBidi"/>
                <w:sz w:val="18"/>
                <w:szCs w:val="18"/>
              </w:rPr>
            </w:pPr>
            <w:r>
              <w:rPr>
                <w:rFonts w:asciiTheme="majorBidi" w:hAnsiTheme="majorBidi" w:cstheme="majorBidi"/>
                <w:sz w:val="18"/>
                <w:szCs w:val="18"/>
              </w:rPr>
              <w:t>1.30</w:t>
            </w:r>
          </w:p>
        </w:tc>
        <w:tc>
          <w:tcPr>
            <w:tcW w:w="1276" w:type="dxa"/>
            <w:vAlign w:val="center"/>
          </w:tcPr>
          <w:p>
            <w:pPr>
              <w:jc w:val="center"/>
              <w:rPr>
                <w:rFonts w:asciiTheme="majorBidi" w:hAnsiTheme="majorBidi" w:cstheme="majorBidi"/>
                <w:sz w:val="18"/>
                <w:szCs w:val="18"/>
              </w:rPr>
            </w:pPr>
            <w:r>
              <w:rPr>
                <w:rFonts w:asciiTheme="majorBidi" w:hAnsiTheme="majorBidi" w:cstheme="majorBidi"/>
                <w:sz w:val="18"/>
                <w:szCs w:val="18"/>
              </w:rPr>
              <w:t>1.15</w:t>
            </w:r>
          </w:p>
        </w:tc>
        <w:tc>
          <w:tcPr>
            <w:tcW w:w="1134" w:type="dxa"/>
            <w:vAlign w:val="center"/>
          </w:tcPr>
          <w:p>
            <w:pPr>
              <w:jc w:val="center"/>
              <w:rPr>
                <w:rFonts w:asciiTheme="majorBidi" w:hAnsiTheme="majorBidi" w:cstheme="majorBidi"/>
                <w:sz w:val="18"/>
                <w:szCs w:val="18"/>
              </w:rPr>
            </w:pPr>
            <w:r>
              <w:rPr>
                <w:rFonts w:asciiTheme="majorBidi" w:hAnsiTheme="majorBidi" w:cstheme="majorBidi"/>
                <w:sz w:val="18"/>
                <w:szCs w:val="18"/>
              </w:rPr>
              <w:t>2200</w:t>
            </w:r>
          </w:p>
        </w:tc>
        <w:tc>
          <w:tcPr>
            <w:tcW w:w="1149" w:type="dxa"/>
            <w:vAlign w:val="center"/>
          </w:tcPr>
          <w:p>
            <w:pPr>
              <w:jc w:val="center"/>
              <w:rPr>
                <w:rFonts w:asciiTheme="majorBidi" w:hAnsiTheme="majorBidi" w:cstheme="majorBidi"/>
                <w:sz w:val="18"/>
                <w:szCs w:val="18"/>
              </w:rPr>
            </w:pPr>
            <w:r>
              <w:rPr>
                <w:rFonts w:asciiTheme="majorBidi" w:hAnsiTheme="majorBidi" w:cstheme="majorBidi"/>
                <w:sz w:val="18"/>
                <w:szCs w:val="18"/>
              </w:rPr>
              <w:t>50</w:t>
            </w:r>
          </w:p>
        </w:tc>
        <w:tc>
          <w:tcPr>
            <w:tcW w:w="972" w:type="dxa"/>
            <w:vMerge w:val="restart"/>
            <w:vAlign w:val="center"/>
          </w:tcPr>
          <w:p>
            <w:pPr>
              <w:jc w:val="center"/>
              <w:rPr>
                <w:rFonts w:asciiTheme="majorBidi" w:hAnsiTheme="majorBidi" w:cstheme="majorBidi"/>
                <w:sz w:val="18"/>
                <w:szCs w:val="18"/>
              </w:rPr>
            </w:pPr>
            <w:r>
              <w:rPr>
                <w:rFonts w:asciiTheme="majorBidi" w:hAnsiTheme="majorBidi" w:cstheme="majorBidi"/>
                <w:sz w:val="18"/>
                <w:szCs w:val="18"/>
              </w:rPr>
              <w:t>0.85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82" w:type="dxa"/>
            <w:vMerge w:val="continue"/>
            <w:vAlign w:val="center"/>
          </w:tcPr>
          <w:p>
            <w:pPr>
              <w:jc w:val="center"/>
              <w:rPr>
                <w:rFonts w:asciiTheme="majorBidi" w:hAnsiTheme="majorBidi" w:cstheme="majorBidi"/>
                <w:sz w:val="18"/>
                <w:szCs w:val="18"/>
              </w:rPr>
            </w:pPr>
            <w:bookmarkStart w:id="8" w:name="_Hlk97208020"/>
          </w:p>
        </w:tc>
        <w:tc>
          <w:tcPr>
            <w:tcW w:w="1574" w:type="dxa"/>
            <w:vAlign w:val="center"/>
          </w:tcPr>
          <w:p>
            <w:pPr>
              <w:jc w:val="center"/>
              <w:rPr>
                <w:rFonts w:asciiTheme="majorBidi" w:hAnsiTheme="majorBidi" w:cstheme="majorBidi"/>
                <w:sz w:val="18"/>
                <w:szCs w:val="18"/>
              </w:rPr>
            </w:pPr>
            <w:r>
              <w:rPr>
                <w:rFonts w:asciiTheme="majorBidi" w:hAnsiTheme="majorBidi" w:cstheme="majorBidi"/>
                <w:sz w:val="18"/>
                <w:szCs w:val="18"/>
              </w:rPr>
              <w:t>Stone</w:t>
            </w:r>
          </w:p>
        </w:tc>
        <w:tc>
          <w:tcPr>
            <w:tcW w:w="1275" w:type="dxa"/>
            <w:vAlign w:val="center"/>
          </w:tcPr>
          <w:p>
            <w:pPr>
              <w:jc w:val="center"/>
              <w:rPr>
                <w:rFonts w:asciiTheme="majorBidi" w:hAnsiTheme="majorBidi" w:cstheme="majorBidi"/>
                <w:sz w:val="18"/>
                <w:szCs w:val="18"/>
              </w:rPr>
            </w:pPr>
            <w:r>
              <w:rPr>
                <w:rFonts w:asciiTheme="majorBidi" w:hAnsiTheme="majorBidi" w:cstheme="majorBidi"/>
                <w:sz w:val="18"/>
                <w:szCs w:val="18"/>
              </w:rPr>
              <w:t>1.75</w:t>
            </w:r>
          </w:p>
        </w:tc>
        <w:tc>
          <w:tcPr>
            <w:tcW w:w="1276" w:type="dxa"/>
            <w:vAlign w:val="center"/>
          </w:tcPr>
          <w:p>
            <w:pPr>
              <w:jc w:val="center"/>
              <w:rPr>
                <w:rFonts w:asciiTheme="majorBidi" w:hAnsiTheme="majorBidi" w:cstheme="majorBidi"/>
                <w:sz w:val="18"/>
                <w:szCs w:val="18"/>
              </w:rPr>
            </w:pPr>
            <w:r>
              <w:rPr>
                <w:rFonts w:asciiTheme="majorBidi" w:hAnsiTheme="majorBidi" w:cstheme="majorBidi"/>
                <w:sz w:val="18"/>
                <w:szCs w:val="18"/>
              </w:rPr>
              <w:t>1.00</w:t>
            </w:r>
          </w:p>
        </w:tc>
        <w:tc>
          <w:tcPr>
            <w:tcW w:w="1134" w:type="dxa"/>
            <w:vAlign w:val="center"/>
          </w:tcPr>
          <w:p>
            <w:pPr>
              <w:jc w:val="center"/>
              <w:rPr>
                <w:rFonts w:asciiTheme="majorBidi" w:hAnsiTheme="majorBidi" w:cstheme="majorBidi"/>
                <w:sz w:val="18"/>
                <w:szCs w:val="18"/>
              </w:rPr>
            </w:pPr>
            <w:r>
              <w:rPr>
                <w:rFonts w:asciiTheme="majorBidi" w:hAnsiTheme="majorBidi" w:cstheme="majorBidi"/>
                <w:sz w:val="18"/>
                <w:szCs w:val="18"/>
              </w:rPr>
              <w:t>2350</w:t>
            </w:r>
          </w:p>
        </w:tc>
        <w:tc>
          <w:tcPr>
            <w:tcW w:w="1149" w:type="dxa"/>
            <w:vAlign w:val="center"/>
          </w:tcPr>
          <w:p>
            <w:pPr>
              <w:jc w:val="center"/>
              <w:rPr>
                <w:rFonts w:asciiTheme="majorBidi" w:hAnsiTheme="majorBidi" w:cstheme="majorBidi"/>
                <w:sz w:val="18"/>
                <w:szCs w:val="18"/>
              </w:rPr>
            </w:pPr>
            <w:r>
              <w:rPr>
                <w:rFonts w:asciiTheme="majorBidi" w:hAnsiTheme="majorBidi" w:cstheme="majorBidi"/>
                <w:sz w:val="18"/>
                <w:szCs w:val="18"/>
              </w:rPr>
              <w:t>200</w:t>
            </w:r>
          </w:p>
        </w:tc>
        <w:tc>
          <w:tcPr>
            <w:tcW w:w="972" w:type="dxa"/>
            <w:vMerge w:val="continue"/>
            <w:vAlign w:val="center"/>
          </w:tcPr>
          <w:p>
            <w:pPr>
              <w:jc w:val="center"/>
              <w:rPr>
                <w:rFonts w:asciiTheme="majorBidi" w:hAnsiTheme="majorBidi" w:cstheme="majorBidi"/>
                <w:sz w:val="18"/>
                <w:szCs w:val="18"/>
              </w:rPr>
            </w:pPr>
          </w:p>
        </w:tc>
      </w:tr>
      <w:bookmarkEnd w:id="8"/>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82" w:type="dxa"/>
            <w:vMerge w:val="continue"/>
            <w:vAlign w:val="center"/>
          </w:tcPr>
          <w:p>
            <w:pPr>
              <w:jc w:val="center"/>
              <w:rPr>
                <w:rFonts w:asciiTheme="majorBidi" w:hAnsiTheme="majorBidi" w:cstheme="majorBidi"/>
                <w:sz w:val="18"/>
                <w:szCs w:val="18"/>
              </w:rPr>
            </w:pPr>
          </w:p>
        </w:tc>
        <w:tc>
          <w:tcPr>
            <w:tcW w:w="1574" w:type="dxa"/>
            <w:vAlign w:val="center"/>
          </w:tcPr>
          <w:p>
            <w:pPr>
              <w:jc w:val="center"/>
              <w:rPr>
                <w:rFonts w:asciiTheme="majorBidi" w:hAnsiTheme="majorBidi" w:cstheme="majorBidi"/>
                <w:sz w:val="18"/>
                <w:szCs w:val="18"/>
              </w:rPr>
            </w:pPr>
            <w:r>
              <w:rPr>
                <w:rFonts w:asciiTheme="majorBidi" w:hAnsiTheme="majorBidi" w:cstheme="majorBidi"/>
                <w:sz w:val="18"/>
                <w:szCs w:val="18"/>
              </w:rPr>
              <w:t>Concrete</w:t>
            </w:r>
          </w:p>
        </w:tc>
        <w:tc>
          <w:tcPr>
            <w:tcW w:w="1275" w:type="dxa"/>
            <w:vAlign w:val="center"/>
          </w:tcPr>
          <w:p>
            <w:pPr>
              <w:jc w:val="center"/>
              <w:rPr>
                <w:rFonts w:asciiTheme="majorBidi" w:hAnsiTheme="majorBidi" w:cstheme="majorBidi"/>
                <w:sz w:val="18"/>
                <w:szCs w:val="18"/>
              </w:rPr>
            </w:pPr>
            <w:r>
              <w:rPr>
                <w:rFonts w:asciiTheme="majorBidi" w:hAnsiTheme="majorBidi" w:cstheme="majorBidi"/>
                <w:sz w:val="18"/>
                <w:szCs w:val="18"/>
              </w:rPr>
              <w:t>0.80</w:t>
            </w:r>
          </w:p>
        </w:tc>
        <w:tc>
          <w:tcPr>
            <w:tcW w:w="1276" w:type="dxa"/>
            <w:vAlign w:val="center"/>
          </w:tcPr>
          <w:p>
            <w:pPr>
              <w:jc w:val="center"/>
              <w:rPr>
                <w:rFonts w:asciiTheme="majorBidi" w:hAnsiTheme="majorBidi" w:cstheme="majorBidi"/>
                <w:sz w:val="18"/>
                <w:szCs w:val="18"/>
              </w:rPr>
            </w:pPr>
            <w:r>
              <w:rPr>
                <w:rFonts w:asciiTheme="majorBidi" w:hAnsiTheme="majorBidi" w:cstheme="majorBidi"/>
                <w:sz w:val="18"/>
                <w:szCs w:val="18"/>
              </w:rPr>
              <w:t>0.84</w:t>
            </w:r>
          </w:p>
        </w:tc>
        <w:tc>
          <w:tcPr>
            <w:tcW w:w="1134" w:type="dxa"/>
            <w:vAlign w:val="center"/>
          </w:tcPr>
          <w:p>
            <w:pPr>
              <w:jc w:val="center"/>
              <w:rPr>
                <w:rFonts w:asciiTheme="majorBidi" w:hAnsiTheme="majorBidi" w:cstheme="majorBidi"/>
                <w:sz w:val="18"/>
                <w:szCs w:val="18"/>
              </w:rPr>
            </w:pPr>
            <w:r>
              <w:rPr>
                <w:rFonts w:asciiTheme="majorBidi" w:hAnsiTheme="majorBidi" w:cstheme="majorBidi"/>
                <w:sz w:val="18"/>
                <w:szCs w:val="18"/>
              </w:rPr>
              <w:t>2240</w:t>
            </w:r>
          </w:p>
        </w:tc>
        <w:tc>
          <w:tcPr>
            <w:tcW w:w="1149" w:type="dxa"/>
            <w:vAlign w:val="center"/>
          </w:tcPr>
          <w:p>
            <w:pPr>
              <w:jc w:val="center"/>
              <w:rPr>
                <w:rFonts w:asciiTheme="majorBidi" w:hAnsiTheme="majorBidi" w:cstheme="majorBidi"/>
                <w:sz w:val="18"/>
                <w:szCs w:val="18"/>
              </w:rPr>
            </w:pPr>
            <w:r>
              <w:rPr>
                <w:rFonts w:asciiTheme="majorBidi" w:hAnsiTheme="majorBidi" w:cstheme="majorBidi"/>
                <w:sz w:val="18"/>
                <w:szCs w:val="18"/>
              </w:rPr>
              <w:t>100</w:t>
            </w:r>
          </w:p>
        </w:tc>
        <w:tc>
          <w:tcPr>
            <w:tcW w:w="972" w:type="dxa"/>
            <w:vMerge w:val="continue"/>
            <w:vAlign w:val="center"/>
          </w:tcPr>
          <w:p>
            <w:pPr>
              <w:jc w:val="center"/>
              <w:rPr>
                <w:rFonts w:asciiTheme="majorBidi" w:hAnsiTheme="majorBidi" w:cstheme="majorBidi"/>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82" w:type="dxa"/>
            <w:vMerge w:val="restart"/>
            <w:vAlign w:val="center"/>
          </w:tcPr>
          <w:p>
            <w:pPr>
              <w:jc w:val="center"/>
              <w:rPr>
                <w:rFonts w:asciiTheme="majorBidi" w:hAnsiTheme="majorBidi" w:cstheme="majorBidi"/>
                <w:sz w:val="18"/>
                <w:szCs w:val="18"/>
              </w:rPr>
            </w:pPr>
            <w:r>
              <w:rPr>
                <w:rFonts w:asciiTheme="majorBidi" w:hAnsiTheme="majorBidi" w:cstheme="majorBidi"/>
                <w:sz w:val="18"/>
                <w:szCs w:val="18"/>
              </w:rPr>
              <w:t>Roof</w:t>
            </w:r>
          </w:p>
        </w:tc>
        <w:tc>
          <w:tcPr>
            <w:tcW w:w="1574" w:type="dxa"/>
            <w:vAlign w:val="center"/>
          </w:tcPr>
          <w:p>
            <w:pPr>
              <w:jc w:val="center"/>
              <w:rPr>
                <w:rFonts w:asciiTheme="majorBidi" w:hAnsiTheme="majorBidi" w:cstheme="majorBidi"/>
                <w:sz w:val="18"/>
                <w:szCs w:val="18"/>
              </w:rPr>
            </w:pPr>
            <w:r>
              <w:rPr>
                <w:rFonts w:asciiTheme="majorBidi" w:hAnsiTheme="majorBidi" w:cstheme="majorBidi"/>
                <w:sz w:val="18"/>
                <w:szCs w:val="18"/>
              </w:rPr>
              <w:t>Concrete-slab</w:t>
            </w:r>
          </w:p>
        </w:tc>
        <w:tc>
          <w:tcPr>
            <w:tcW w:w="1275" w:type="dxa"/>
            <w:vAlign w:val="center"/>
          </w:tcPr>
          <w:p>
            <w:pPr>
              <w:jc w:val="center"/>
              <w:rPr>
                <w:rFonts w:asciiTheme="majorBidi" w:hAnsiTheme="majorBidi" w:cstheme="majorBidi"/>
                <w:sz w:val="18"/>
                <w:szCs w:val="18"/>
              </w:rPr>
            </w:pPr>
            <w:r>
              <w:rPr>
                <w:rFonts w:asciiTheme="majorBidi" w:hAnsiTheme="majorBidi" w:cstheme="majorBidi"/>
                <w:sz w:val="18"/>
                <w:szCs w:val="18"/>
              </w:rPr>
              <w:t>2.30</w:t>
            </w:r>
          </w:p>
        </w:tc>
        <w:tc>
          <w:tcPr>
            <w:tcW w:w="1276" w:type="dxa"/>
            <w:vAlign w:val="center"/>
          </w:tcPr>
          <w:p>
            <w:pPr>
              <w:jc w:val="center"/>
              <w:rPr>
                <w:rFonts w:asciiTheme="majorBidi" w:hAnsiTheme="majorBidi" w:cstheme="majorBidi"/>
                <w:sz w:val="18"/>
                <w:szCs w:val="18"/>
              </w:rPr>
            </w:pPr>
            <w:r>
              <w:rPr>
                <w:rFonts w:asciiTheme="majorBidi" w:hAnsiTheme="majorBidi" w:cstheme="majorBidi"/>
                <w:sz w:val="18"/>
                <w:szCs w:val="18"/>
              </w:rPr>
              <w:t>0.84</w:t>
            </w:r>
          </w:p>
        </w:tc>
        <w:tc>
          <w:tcPr>
            <w:tcW w:w="1134" w:type="dxa"/>
            <w:vAlign w:val="center"/>
          </w:tcPr>
          <w:p>
            <w:pPr>
              <w:jc w:val="center"/>
              <w:rPr>
                <w:rFonts w:asciiTheme="majorBidi" w:hAnsiTheme="majorBidi" w:cstheme="majorBidi"/>
                <w:sz w:val="18"/>
                <w:szCs w:val="18"/>
              </w:rPr>
            </w:pPr>
            <w:r>
              <w:rPr>
                <w:rFonts w:asciiTheme="majorBidi" w:hAnsiTheme="majorBidi" w:cstheme="majorBidi"/>
                <w:sz w:val="18"/>
                <w:szCs w:val="18"/>
              </w:rPr>
              <w:t>2240</w:t>
            </w:r>
          </w:p>
        </w:tc>
        <w:tc>
          <w:tcPr>
            <w:tcW w:w="1149" w:type="dxa"/>
            <w:vAlign w:val="center"/>
          </w:tcPr>
          <w:p>
            <w:pPr>
              <w:jc w:val="center"/>
              <w:rPr>
                <w:rFonts w:asciiTheme="majorBidi" w:hAnsiTheme="majorBidi" w:cstheme="majorBidi"/>
                <w:sz w:val="18"/>
                <w:szCs w:val="18"/>
              </w:rPr>
            </w:pPr>
            <w:r>
              <w:rPr>
                <w:rFonts w:asciiTheme="majorBidi" w:hAnsiTheme="majorBidi" w:cstheme="majorBidi"/>
                <w:sz w:val="18"/>
                <w:szCs w:val="18"/>
              </w:rPr>
              <w:t>40</w:t>
            </w:r>
          </w:p>
        </w:tc>
        <w:tc>
          <w:tcPr>
            <w:tcW w:w="972" w:type="dxa"/>
            <w:vMerge w:val="restart"/>
            <w:vAlign w:val="center"/>
          </w:tcPr>
          <w:p>
            <w:pPr>
              <w:jc w:val="center"/>
              <w:rPr>
                <w:rFonts w:asciiTheme="majorBidi" w:hAnsiTheme="majorBidi" w:cstheme="majorBidi"/>
                <w:sz w:val="18"/>
                <w:szCs w:val="18"/>
              </w:rPr>
            </w:pPr>
            <w:r>
              <w:rPr>
                <w:rFonts w:asciiTheme="majorBidi" w:hAnsiTheme="majorBidi" w:cstheme="majorBidi"/>
                <w:sz w:val="18"/>
                <w:szCs w:val="18"/>
              </w:rPr>
              <w:t>054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82" w:type="dxa"/>
            <w:vMerge w:val="continue"/>
            <w:vAlign w:val="center"/>
          </w:tcPr>
          <w:p>
            <w:pPr>
              <w:jc w:val="center"/>
              <w:rPr>
                <w:rFonts w:asciiTheme="majorBidi" w:hAnsiTheme="majorBidi" w:cstheme="majorBidi"/>
                <w:sz w:val="18"/>
                <w:szCs w:val="18"/>
              </w:rPr>
            </w:pPr>
          </w:p>
        </w:tc>
        <w:tc>
          <w:tcPr>
            <w:tcW w:w="1574" w:type="dxa"/>
            <w:vAlign w:val="center"/>
          </w:tcPr>
          <w:p>
            <w:pPr>
              <w:jc w:val="center"/>
              <w:rPr>
                <w:rFonts w:asciiTheme="majorBidi" w:hAnsiTheme="majorBidi" w:cstheme="majorBidi"/>
                <w:sz w:val="18"/>
                <w:szCs w:val="18"/>
              </w:rPr>
            </w:pPr>
            <w:r>
              <w:rPr>
                <w:rFonts w:asciiTheme="majorBidi" w:hAnsiTheme="majorBidi" w:cstheme="majorBidi"/>
                <w:sz w:val="18"/>
                <w:szCs w:val="18"/>
              </w:rPr>
              <w:t>Slab</w:t>
            </w:r>
          </w:p>
        </w:tc>
        <w:tc>
          <w:tcPr>
            <w:tcW w:w="1275" w:type="dxa"/>
            <w:vAlign w:val="center"/>
          </w:tcPr>
          <w:p>
            <w:pPr>
              <w:jc w:val="center"/>
              <w:rPr>
                <w:rFonts w:asciiTheme="majorBidi" w:hAnsiTheme="majorBidi" w:cstheme="majorBidi"/>
                <w:sz w:val="18"/>
                <w:szCs w:val="18"/>
              </w:rPr>
            </w:pPr>
            <w:r>
              <w:rPr>
                <w:rFonts w:asciiTheme="majorBidi" w:hAnsiTheme="majorBidi" w:cstheme="majorBidi"/>
                <w:sz w:val="18"/>
                <w:szCs w:val="18"/>
              </w:rPr>
              <w:t>0.60</w:t>
            </w:r>
          </w:p>
        </w:tc>
        <w:tc>
          <w:tcPr>
            <w:tcW w:w="1276" w:type="dxa"/>
            <w:vAlign w:val="center"/>
          </w:tcPr>
          <w:p>
            <w:pPr>
              <w:jc w:val="center"/>
              <w:rPr>
                <w:rFonts w:asciiTheme="majorBidi" w:hAnsiTheme="majorBidi" w:cstheme="majorBidi"/>
                <w:sz w:val="18"/>
                <w:szCs w:val="18"/>
              </w:rPr>
            </w:pPr>
            <w:r>
              <w:rPr>
                <w:rFonts w:asciiTheme="majorBidi" w:hAnsiTheme="majorBidi" w:cstheme="majorBidi"/>
                <w:sz w:val="18"/>
                <w:szCs w:val="18"/>
              </w:rPr>
              <w:t>0.88</w:t>
            </w:r>
          </w:p>
        </w:tc>
        <w:tc>
          <w:tcPr>
            <w:tcW w:w="1134" w:type="dxa"/>
            <w:vAlign w:val="center"/>
          </w:tcPr>
          <w:p>
            <w:pPr>
              <w:jc w:val="center"/>
              <w:rPr>
                <w:rFonts w:asciiTheme="majorBidi" w:hAnsiTheme="majorBidi" w:cstheme="majorBidi"/>
                <w:sz w:val="18"/>
                <w:szCs w:val="18"/>
              </w:rPr>
            </w:pPr>
            <w:r>
              <w:rPr>
                <w:rFonts w:asciiTheme="majorBidi" w:hAnsiTheme="majorBidi" w:cstheme="majorBidi"/>
                <w:sz w:val="18"/>
                <w:szCs w:val="18"/>
              </w:rPr>
              <w:t>1000</w:t>
            </w:r>
          </w:p>
        </w:tc>
        <w:tc>
          <w:tcPr>
            <w:tcW w:w="1149" w:type="dxa"/>
            <w:vAlign w:val="center"/>
          </w:tcPr>
          <w:p>
            <w:pPr>
              <w:jc w:val="center"/>
              <w:rPr>
                <w:rFonts w:asciiTheme="majorBidi" w:hAnsiTheme="majorBidi" w:cstheme="majorBidi"/>
                <w:sz w:val="18"/>
                <w:szCs w:val="18"/>
              </w:rPr>
            </w:pPr>
            <w:r>
              <w:rPr>
                <w:rFonts w:asciiTheme="majorBidi" w:hAnsiTheme="majorBidi" w:cstheme="majorBidi"/>
                <w:sz w:val="18"/>
                <w:szCs w:val="18"/>
              </w:rPr>
              <w:t>160</w:t>
            </w:r>
          </w:p>
        </w:tc>
        <w:tc>
          <w:tcPr>
            <w:tcW w:w="972" w:type="dxa"/>
            <w:vMerge w:val="continue"/>
            <w:vAlign w:val="center"/>
          </w:tcPr>
          <w:p>
            <w:pPr>
              <w:jc w:val="center"/>
              <w:rPr>
                <w:rFonts w:asciiTheme="majorBidi" w:hAnsiTheme="majorBidi" w:cstheme="majorBidi"/>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82" w:type="dxa"/>
            <w:vMerge w:val="continue"/>
            <w:vAlign w:val="center"/>
          </w:tcPr>
          <w:p>
            <w:pPr>
              <w:jc w:val="center"/>
              <w:rPr>
                <w:rFonts w:asciiTheme="majorBidi" w:hAnsiTheme="majorBidi" w:cstheme="majorBidi"/>
                <w:sz w:val="18"/>
                <w:szCs w:val="18"/>
              </w:rPr>
            </w:pPr>
          </w:p>
        </w:tc>
        <w:tc>
          <w:tcPr>
            <w:tcW w:w="1574" w:type="dxa"/>
            <w:vAlign w:val="center"/>
          </w:tcPr>
          <w:p>
            <w:pPr>
              <w:jc w:val="center"/>
              <w:rPr>
                <w:rFonts w:asciiTheme="majorBidi" w:hAnsiTheme="majorBidi" w:cstheme="majorBidi"/>
                <w:sz w:val="18"/>
                <w:szCs w:val="18"/>
              </w:rPr>
            </w:pPr>
            <w:r>
              <w:rPr>
                <w:rFonts w:asciiTheme="majorBidi" w:hAnsiTheme="majorBidi" w:cstheme="majorBidi"/>
                <w:sz w:val="18"/>
                <w:szCs w:val="18"/>
              </w:rPr>
              <w:t>Plaster</w:t>
            </w:r>
          </w:p>
        </w:tc>
        <w:tc>
          <w:tcPr>
            <w:tcW w:w="1275" w:type="dxa"/>
            <w:vAlign w:val="center"/>
          </w:tcPr>
          <w:p>
            <w:pPr>
              <w:jc w:val="center"/>
              <w:rPr>
                <w:rFonts w:asciiTheme="majorBidi" w:hAnsiTheme="majorBidi" w:cstheme="majorBidi"/>
                <w:sz w:val="18"/>
                <w:szCs w:val="18"/>
              </w:rPr>
            </w:pPr>
            <w:r>
              <w:rPr>
                <w:rFonts w:asciiTheme="majorBidi" w:hAnsiTheme="majorBidi" w:cstheme="majorBidi"/>
                <w:sz w:val="18"/>
                <w:szCs w:val="18"/>
              </w:rPr>
              <w:t>0.57</w:t>
            </w:r>
          </w:p>
        </w:tc>
        <w:tc>
          <w:tcPr>
            <w:tcW w:w="1276" w:type="dxa"/>
            <w:vAlign w:val="center"/>
          </w:tcPr>
          <w:p>
            <w:pPr>
              <w:jc w:val="center"/>
              <w:rPr>
                <w:rFonts w:asciiTheme="majorBidi" w:hAnsiTheme="majorBidi" w:cstheme="majorBidi"/>
                <w:sz w:val="18"/>
                <w:szCs w:val="18"/>
              </w:rPr>
            </w:pPr>
            <w:r>
              <w:rPr>
                <w:rFonts w:asciiTheme="majorBidi" w:hAnsiTheme="majorBidi" w:cstheme="majorBidi"/>
                <w:sz w:val="18"/>
                <w:szCs w:val="18"/>
              </w:rPr>
              <w:t>1.34</w:t>
            </w:r>
          </w:p>
        </w:tc>
        <w:tc>
          <w:tcPr>
            <w:tcW w:w="1134" w:type="dxa"/>
            <w:vAlign w:val="center"/>
          </w:tcPr>
          <w:p>
            <w:pPr>
              <w:jc w:val="center"/>
              <w:rPr>
                <w:rFonts w:asciiTheme="majorBidi" w:hAnsiTheme="majorBidi" w:cstheme="majorBidi"/>
                <w:sz w:val="18"/>
                <w:szCs w:val="18"/>
              </w:rPr>
            </w:pPr>
            <w:r>
              <w:rPr>
                <w:rFonts w:asciiTheme="majorBidi" w:hAnsiTheme="majorBidi" w:cstheme="majorBidi"/>
                <w:sz w:val="18"/>
                <w:szCs w:val="18"/>
              </w:rPr>
              <w:t>720</w:t>
            </w:r>
          </w:p>
        </w:tc>
        <w:tc>
          <w:tcPr>
            <w:tcW w:w="1149" w:type="dxa"/>
            <w:vAlign w:val="center"/>
          </w:tcPr>
          <w:p>
            <w:pPr>
              <w:jc w:val="center"/>
              <w:rPr>
                <w:rFonts w:asciiTheme="majorBidi" w:hAnsiTheme="majorBidi" w:cstheme="majorBidi"/>
                <w:sz w:val="18"/>
                <w:szCs w:val="18"/>
              </w:rPr>
            </w:pPr>
            <w:r>
              <w:rPr>
                <w:rFonts w:asciiTheme="majorBidi" w:hAnsiTheme="majorBidi" w:cstheme="majorBidi"/>
                <w:sz w:val="18"/>
                <w:szCs w:val="18"/>
              </w:rPr>
              <w:t>10</w:t>
            </w:r>
          </w:p>
        </w:tc>
        <w:tc>
          <w:tcPr>
            <w:tcW w:w="972" w:type="dxa"/>
            <w:vMerge w:val="continue"/>
            <w:vAlign w:val="center"/>
          </w:tcPr>
          <w:p>
            <w:pPr>
              <w:jc w:val="center"/>
              <w:rPr>
                <w:rFonts w:asciiTheme="majorBidi" w:hAnsiTheme="majorBidi" w:cstheme="majorBidi"/>
                <w:sz w:val="18"/>
                <w:szCs w:val="18"/>
              </w:rPr>
            </w:pPr>
          </w:p>
        </w:tc>
      </w:tr>
      <w:bookmarkEnd w:id="6"/>
    </w:tbl>
    <w:p>
      <w:pPr>
        <w:spacing w:line="360" w:lineRule="auto"/>
        <w:rPr>
          <w:b/>
          <w:bCs/>
        </w:rPr>
      </w:pPr>
    </w:p>
    <w:p>
      <w:pPr>
        <w:spacing w:line="360" w:lineRule="auto"/>
        <w:rPr>
          <w:b/>
          <w:bCs/>
        </w:rPr>
      </w:pPr>
      <w:r>
        <w:rPr>
          <w:b/>
          <w:bCs/>
        </w:rPr>
        <w:t>3. Determination of energy requirement</w:t>
      </w:r>
    </w:p>
    <w:p>
      <w:pPr>
        <w:spacing w:line="360" w:lineRule="auto"/>
        <w:jc w:val="both"/>
      </w:pPr>
      <w:r>
        <w:t>The annual energy requirement of the building are shown in Figure 2. The values are around 9300 (KWH) for heating and 11180 (KWH) for air conditioning. The total annual requirement is therefore 20480 (KWH).</w:t>
      </w:r>
    </w:p>
    <w:p>
      <w:pPr>
        <w:spacing w:line="360" w:lineRule="auto"/>
        <w:jc w:val="both"/>
      </w:pPr>
      <w:r>
        <w:t>For our building with a total area of 80 m², the energy performance is around 256 KWH/m². This result is obtained if we consider that the air conditioning system has a coefficient of performance COP = 4 and the efficiency of the heating system is η =0.6.</w:t>
      </w:r>
    </w:p>
    <w:p>
      <w:pPr>
        <w:spacing w:line="360" w:lineRule="auto"/>
        <w:jc w:val="both"/>
      </w:pPr>
      <w:r>
        <w:t>The Coefficient of Performance (COP) is the ratio between the heat produced and the energy consumed. The higher the COP, the less energy the air conditioner will use to heat the space.</w:t>
      </w:r>
    </w:p>
    <w:p>
      <w:pPr>
        <w:spacing w:line="360" w:lineRule="auto"/>
        <w:jc w:val="both"/>
      </w:pPr>
    </w:p>
    <w:p>
      <w:pPr>
        <w:spacing w:line="360" w:lineRule="auto"/>
        <w:jc w:val="center"/>
      </w:pPr>
      <w:r>
        <w:rPr>
          <w:lang w:eastAsia="fr-FR" w:bidi="ar-SA"/>
        </w:rPr>
        <w:drawing>
          <wp:inline distT="0" distB="0" distL="0" distR="0">
            <wp:extent cx="4572000" cy="2743200"/>
            <wp:effectExtent l="0" t="0" r="0" b="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360" w:lineRule="auto"/>
        <w:jc w:val="center"/>
        <w:rPr>
          <w:b/>
          <w:bCs/>
        </w:rPr>
      </w:pPr>
      <w:r>
        <w:rPr>
          <w:b/>
          <w:bCs/>
          <w:sz w:val="20"/>
          <w:szCs w:val="20"/>
        </w:rPr>
        <w:t>Fig.2 : Monthly evolution of energy requirement</w:t>
      </w:r>
      <w:r>
        <w:rPr>
          <w:b/>
          <w:bCs/>
        </w:rPr>
        <w:br w:type="textWrapping"/>
      </w:r>
    </w:p>
    <w:p>
      <w:pPr>
        <w:spacing w:line="360" w:lineRule="auto"/>
        <w:rPr>
          <w:b/>
          <w:bCs/>
        </w:rPr>
      </w:pPr>
      <w:r>
        <w:rPr>
          <w:b/>
          <w:bCs/>
        </w:rPr>
        <w:t>4. Energy efficiency measures</w:t>
      </w:r>
    </w:p>
    <w:p>
      <w:pPr>
        <w:spacing w:line="360" w:lineRule="auto"/>
        <w:rPr>
          <w:b/>
          <w:bCs/>
        </w:rPr>
      </w:pPr>
      <w:r>
        <w:rPr>
          <w:b/>
          <w:bCs/>
        </w:rPr>
        <w:t>4.1. Orientation</w:t>
      </w:r>
    </w:p>
    <w:p>
      <w:pPr>
        <w:spacing w:line="360" w:lineRule="auto"/>
        <w:jc w:val="both"/>
      </w:pPr>
      <w:r>
        <w:t>The initial building oriented North-South has been modified and oriented East-West as shown in Figure 3.</w:t>
      </w:r>
    </w:p>
    <w:p>
      <w:pPr>
        <w:spacing w:line="360" w:lineRule="auto"/>
        <w:jc w:val="both"/>
      </w:pPr>
    </w:p>
    <w:tbl>
      <w:tblPr>
        <w:tblStyle w:val="8"/>
        <w:tblW w:w="69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77"/>
        <w:gridCol w:w="35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77" w:type="dxa"/>
          </w:tcPr>
          <w:p>
            <w:pPr>
              <w:pStyle w:val="4"/>
              <w:spacing w:after="120"/>
              <w:ind w:left="0"/>
              <w:jc w:val="center"/>
              <w:rPr>
                <w:rFonts w:asciiTheme="majorBidi" w:hAnsiTheme="majorBidi" w:cstheme="majorBidi"/>
                <w:b/>
                <w:bCs/>
                <w:sz w:val="18"/>
                <w:szCs w:val="18"/>
              </w:rPr>
            </w:pPr>
            <w:r>
              <w:rPr>
                <w:rFonts w:asciiTheme="majorBidi" w:hAnsiTheme="majorBidi" w:cstheme="majorBidi"/>
                <w:b/>
                <w:bCs/>
                <w:sz w:val="18"/>
                <w:szCs w:val="18"/>
              </w:rPr>
              <w:t>a</w:t>
            </w:r>
          </w:p>
        </w:tc>
        <w:tc>
          <w:tcPr>
            <w:tcW w:w="3564" w:type="dxa"/>
          </w:tcPr>
          <w:p>
            <w:pPr>
              <w:pStyle w:val="4"/>
              <w:ind w:left="0"/>
              <w:jc w:val="center"/>
              <w:rPr>
                <w:rFonts w:asciiTheme="majorBidi" w:hAnsiTheme="majorBidi" w:cstheme="majorBidi"/>
                <w:b/>
                <w:bCs/>
                <w:sz w:val="18"/>
                <w:szCs w:val="18"/>
              </w:rPr>
            </w:pPr>
            <w:r>
              <w:rPr>
                <w:rFonts w:asciiTheme="majorBidi" w:hAnsiTheme="majorBidi" w:cstheme="majorBidi"/>
                <w:b/>
                <w:bCs/>
                <w:sz w:val="18"/>
                <w:szCs w:val="18"/>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77" w:type="dxa"/>
          </w:tcPr>
          <w:p>
            <w:pPr>
              <w:pStyle w:val="4"/>
              <w:ind w:left="0"/>
              <w:jc w:val="center"/>
              <w:rPr>
                <w:rFonts w:asciiTheme="majorBidi" w:hAnsiTheme="majorBidi" w:cstheme="majorBidi"/>
                <w:sz w:val="20"/>
                <w:szCs w:val="20"/>
              </w:rPr>
            </w:pPr>
            <w:r>
              <w:drawing>
                <wp:inline distT="0" distB="0" distL="0" distR="0">
                  <wp:extent cx="1733550" cy="1382395"/>
                  <wp:effectExtent l="0" t="0" r="0" b="825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33550" cy="1382395"/>
                          </a:xfrm>
                          <a:prstGeom prst="rect">
                            <a:avLst/>
                          </a:prstGeom>
                          <a:noFill/>
                          <a:ln>
                            <a:noFill/>
                          </a:ln>
                        </pic:spPr>
                      </pic:pic>
                    </a:graphicData>
                  </a:graphic>
                </wp:inline>
              </w:drawing>
            </w:r>
          </w:p>
        </w:tc>
        <w:tc>
          <w:tcPr>
            <w:tcW w:w="3564" w:type="dxa"/>
          </w:tcPr>
          <w:p>
            <w:pPr>
              <w:pStyle w:val="4"/>
              <w:ind w:left="0"/>
              <w:jc w:val="center"/>
              <w:rPr>
                <w:rFonts w:asciiTheme="majorBidi" w:hAnsiTheme="majorBidi" w:cstheme="majorBidi"/>
                <w:sz w:val="20"/>
                <w:szCs w:val="20"/>
              </w:rPr>
            </w:pPr>
            <w:r>
              <w:drawing>
                <wp:inline distT="0" distB="0" distL="0" distR="0">
                  <wp:extent cx="1755775" cy="1382395"/>
                  <wp:effectExtent l="0" t="0" r="0" b="825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755775" cy="1382395"/>
                          </a:xfrm>
                          <a:prstGeom prst="rect">
                            <a:avLst/>
                          </a:prstGeom>
                          <a:noFill/>
                          <a:ln>
                            <a:noFill/>
                          </a:ln>
                        </pic:spPr>
                      </pic:pic>
                    </a:graphicData>
                  </a:graphic>
                </wp:inline>
              </w:drawing>
            </w:r>
          </w:p>
        </w:tc>
      </w:tr>
    </w:tbl>
    <w:p>
      <w:pPr>
        <w:spacing w:line="360" w:lineRule="auto"/>
        <w:jc w:val="center"/>
        <w:rPr>
          <w:b/>
          <w:bCs/>
        </w:rPr>
      </w:pPr>
      <w:r>
        <w:rPr>
          <w:b/>
          <w:bCs/>
          <w:sz w:val="20"/>
          <w:szCs w:val="20"/>
        </w:rPr>
        <w:t>Fig.3 : Orientation of the building. a: North-South. b: East-West</w:t>
      </w:r>
    </w:p>
    <w:p>
      <w:pPr>
        <w:spacing w:line="360" w:lineRule="auto"/>
        <w:rPr>
          <w:b/>
          <w:bCs/>
        </w:rPr>
      </w:pPr>
    </w:p>
    <w:p>
      <w:pPr>
        <w:spacing w:line="360" w:lineRule="auto"/>
        <w:jc w:val="both"/>
      </w:pPr>
      <w:r>
        <w:t>Figure 4 gives the results of the influence of the orientation of the building on its energy balance. We note that the demand for heating and cooling have been increased by 5% and 11% respectively for a total increase in thermal consumption of 3%. Indeed, for the facade facing north, it receives a little sunshine in the morning and evening. In the modified situation, it is oriented to the East and it receives solar gain only in the morning, but more significantly. We should therefore heat less in winter but cool more in summer.</w:t>
      </w:r>
    </w:p>
    <w:p>
      <w:pPr>
        <w:spacing w:line="360" w:lineRule="auto"/>
        <w:jc w:val="both"/>
      </w:pPr>
      <w:r>
        <w:t>For the facade facing south, it receives significant solar gain in the middle of the day. In the modified situation, the facade is oriented to the West and the sunshine occurs later. It is therefore necessary to heat more in winter. In summer, the end-of-day supplies will be stored in the building overnight and returned in the morning, so additional cooling will also be required.</w:t>
      </w:r>
    </w:p>
    <w:p>
      <w:pPr>
        <w:spacing w:line="360" w:lineRule="auto"/>
        <w:jc w:val="center"/>
      </w:pPr>
      <w:r>
        <w:rPr>
          <w:lang w:eastAsia="fr-FR" w:bidi="ar-SA"/>
        </w:rPr>
        <w:drawing>
          <wp:inline distT="0" distB="0" distL="0" distR="0">
            <wp:extent cx="4572000" cy="2743200"/>
            <wp:effectExtent l="0" t="0" r="0" b="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360" w:lineRule="auto"/>
        <w:jc w:val="center"/>
        <w:rPr>
          <w:b/>
          <w:bCs/>
        </w:rPr>
      </w:pPr>
      <w:bookmarkStart w:id="9" w:name="_Hlk96861770"/>
      <w:r>
        <w:rPr>
          <w:b/>
          <w:bCs/>
          <w:sz w:val="20"/>
          <w:szCs w:val="20"/>
        </w:rPr>
        <w:t>Fig.4 : Annual energy requirement according to the building orientation</w:t>
      </w:r>
    </w:p>
    <w:bookmarkEnd w:id="9"/>
    <w:p>
      <w:pPr>
        <w:spacing w:line="360" w:lineRule="auto"/>
        <w:rPr>
          <w:b/>
          <w:bCs/>
        </w:rPr>
      </w:pPr>
    </w:p>
    <w:p>
      <w:pPr>
        <w:spacing w:line="360" w:lineRule="auto"/>
        <w:rPr>
          <w:b/>
          <w:bCs/>
        </w:rPr>
      </w:pPr>
      <w:r>
        <w:rPr>
          <w:b/>
          <w:bCs/>
        </w:rPr>
        <w:t>4.2. Glazed surfaces</w:t>
      </w:r>
    </w:p>
    <w:p>
      <w:pPr>
        <w:spacing w:line="360" w:lineRule="auto"/>
        <w:jc w:val="both"/>
      </w:pPr>
      <w:r>
        <w:t>Figure 5 presents the results of the annual energy requirement for heating and cooling as a function of the percentage of glass surfaces in the building. According to the results, we note that the use of single glazing with a heat loss coefficient U=6.32W/m².K did not give an energy gain for all the facades, including that of the South.</w:t>
      </w:r>
    </w:p>
    <w:p>
      <w:pPr>
        <w:spacing w:line="360" w:lineRule="auto"/>
        <w:jc w:val="both"/>
      </w:pPr>
      <w:r>
        <w:t>For double-glazed windows, we note that it is absolutely necessary to avoid arranging them on the North facade under penalty of seeing its energy needs explode simultaneously with the increase in the glazed surface. For the other facades, an energy gain in heating was recorded in proportion to the increase in glazed surfaces, especially for the south facade where the gain is significant and stabilizes beyond half the surface of the facade. For the East and West facades the gain increased slowly to reach its maximum for a percentage of 40%.</w:t>
      </w:r>
    </w:p>
    <w:p>
      <w:pPr>
        <w:spacing w:line="360" w:lineRule="auto"/>
        <w:jc w:val="both"/>
      </w:pPr>
      <w:r>
        <w:t>For low-emission double glazing, we note a heating gain of 22.64% for the south facade. For the other three facades, the gain was 1% on average for 20% more glazed surface.</w:t>
      </w:r>
    </w:p>
    <w:p>
      <w:pPr>
        <w:spacing w:line="360" w:lineRule="auto"/>
        <w:jc w:val="both"/>
      </w:pPr>
      <w:r>
        <w:t>According to the results, we also notice that a window placed to the south can improve the heating balance. Indeed, in winter, since the sun remains low on the horizon, only windows facing south and without shade can really contribute to heating provided that their glazing is very insulating and fairly transparent to the radiation of the sun. In summer, on the other hand, the sun reaches all the facades, and the building can overheat if it is not equipped with solar protection.</w:t>
      </w:r>
    </w:p>
    <w:p>
      <w:pPr>
        <w:spacing w:line="360" w:lineRule="auto"/>
        <w:jc w:val="both"/>
      </w:pPr>
      <w:r>
        <w:t>We also note that windows facing east and west are more difficult to keep in the shade, because the sun reaches them at a lower angle on the horizon than windows facing south. Thus, it is advisable not to exceed:</w:t>
      </w:r>
    </w:p>
    <w:p>
      <w:pPr>
        <w:pStyle w:val="21"/>
        <w:numPr>
          <w:ilvl w:val="0"/>
          <w:numId w:val="7"/>
        </w:numPr>
        <w:spacing w:line="360" w:lineRule="auto"/>
        <w:jc w:val="both"/>
      </w:pPr>
      <w:r>
        <w:t>50% glazing on the south facades (a good compromise to take advantage of solar energy in winter without suffering too much overheating in summer).</w:t>
      </w:r>
    </w:p>
    <w:p>
      <w:pPr>
        <w:pStyle w:val="21"/>
        <w:numPr>
          <w:ilvl w:val="0"/>
          <w:numId w:val="7"/>
        </w:numPr>
        <w:spacing w:line="360" w:lineRule="auto"/>
        <w:jc w:val="both"/>
      </w:pPr>
      <w:r>
        <w:t>20% glazing on the east and west facades (to avoid losses in winter and overheating in summer).</w:t>
      </w:r>
    </w:p>
    <w:p>
      <w:pPr>
        <w:pStyle w:val="21"/>
        <w:numPr>
          <w:ilvl w:val="0"/>
          <w:numId w:val="7"/>
        </w:numPr>
        <w:spacing w:line="360" w:lineRule="auto"/>
        <w:jc w:val="both"/>
      </w:pPr>
      <w:r>
        <w:t>10% glazing on the north facades (to avoid heat loss in winter while still receiving light).</w:t>
      </w:r>
    </w:p>
    <w:p>
      <w:pPr>
        <w:spacing w:line="360" w:lineRule="auto"/>
        <w:jc w:val="both"/>
      </w:pPr>
    </w:p>
    <w:p>
      <w:pPr>
        <w:spacing w:line="360" w:lineRule="auto"/>
        <w:jc w:val="both"/>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73"/>
        <w:gridCol w:w="45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2" w:type="dxa"/>
            <w:gridSpan w:val="2"/>
          </w:tcPr>
          <w:p>
            <w:pPr>
              <w:jc w:val="center"/>
              <w:rPr>
                <w:sz w:val="20"/>
                <w:szCs w:val="20"/>
              </w:rPr>
            </w:pPr>
            <w:r>
              <w:rPr>
                <w:rFonts w:asciiTheme="majorBidi" w:hAnsiTheme="majorBidi" w:cstheme="majorBidi"/>
                <w:sz w:val="20"/>
                <w:szCs w:val="20"/>
              </w:rPr>
              <w:t>Single glazing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43" w:type="dxa"/>
          </w:tcPr>
          <w:p>
            <w:pPr>
              <w:jc w:val="center"/>
              <w:rPr>
                <w:sz w:val="20"/>
                <w:szCs w:val="20"/>
              </w:rPr>
            </w:pPr>
            <w:r>
              <w:rPr>
                <w:sz w:val="20"/>
                <w:szCs w:val="20"/>
              </w:rPr>
              <w:t>(a)</w:t>
            </w:r>
          </w:p>
        </w:tc>
        <w:tc>
          <w:tcPr>
            <w:tcW w:w="4519" w:type="dxa"/>
          </w:tcPr>
          <w:p>
            <w:pPr>
              <w:jc w:val="center"/>
              <w:rPr>
                <w:sz w:val="20"/>
                <w:szCs w:val="20"/>
              </w:rPr>
            </w:pPr>
            <w:r>
              <w:rPr>
                <w:sz w:val="20"/>
                <w:szCs w:val="20"/>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43" w:type="dxa"/>
          </w:tcPr>
          <w:p>
            <w:pPr>
              <w:jc w:val="both"/>
            </w:pPr>
            <w:r>
              <w:rPr>
                <w:lang w:eastAsia="fr-FR" w:bidi="ar-SA"/>
              </w:rPr>
              <w:drawing>
                <wp:inline distT="0" distB="0" distL="0" distR="0">
                  <wp:extent cx="2750185" cy="1654175"/>
                  <wp:effectExtent l="0" t="0" r="0" b="317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64032" cy="1662642"/>
                          </a:xfrm>
                          <a:prstGeom prst="rect">
                            <a:avLst/>
                          </a:prstGeom>
                          <a:noFill/>
                          <a:ln>
                            <a:noFill/>
                          </a:ln>
                        </pic:spPr>
                      </pic:pic>
                    </a:graphicData>
                  </a:graphic>
                </wp:inline>
              </w:drawing>
            </w:r>
          </w:p>
        </w:tc>
        <w:tc>
          <w:tcPr>
            <w:tcW w:w="4519" w:type="dxa"/>
          </w:tcPr>
          <w:p>
            <w:pPr>
              <w:jc w:val="both"/>
            </w:pPr>
            <w:r>
              <w:rPr>
                <w:lang w:eastAsia="fr-FR" w:bidi="ar-SA"/>
              </w:rPr>
              <w:drawing>
                <wp:inline distT="0" distB="0" distL="0" distR="0">
                  <wp:extent cx="2751455" cy="1654810"/>
                  <wp:effectExtent l="0" t="0" r="0" b="254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781717" cy="1673281"/>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62" w:type="dxa"/>
            <w:gridSpan w:val="2"/>
          </w:tcPr>
          <w:p>
            <w:pPr>
              <w:jc w:val="center"/>
            </w:pPr>
            <w:r>
              <w:rPr>
                <w:rFonts w:asciiTheme="majorBidi" w:hAnsiTheme="majorBidi" w:cstheme="majorBidi"/>
                <w:sz w:val="20"/>
                <w:szCs w:val="20"/>
              </w:rPr>
              <w:t>Double glazing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43" w:type="dxa"/>
          </w:tcPr>
          <w:p>
            <w:pPr>
              <w:jc w:val="center"/>
            </w:pPr>
            <w:bookmarkStart w:id="10" w:name="_Hlk97114156"/>
            <w:r>
              <w:rPr>
                <w:sz w:val="20"/>
                <w:szCs w:val="20"/>
              </w:rPr>
              <w:t>(a)</w:t>
            </w:r>
          </w:p>
        </w:tc>
        <w:tc>
          <w:tcPr>
            <w:tcW w:w="4519" w:type="dxa"/>
          </w:tcPr>
          <w:p>
            <w:pPr>
              <w:jc w:val="center"/>
            </w:pPr>
            <w:r>
              <w:rPr>
                <w:sz w:val="20"/>
                <w:szCs w:val="20"/>
              </w:rPr>
              <w:t>(b)</w:t>
            </w:r>
          </w:p>
        </w:tc>
      </w:tr>
      <w:bookmarkEnd w:id="1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43" w:type="dxa"/>
          </w:tcPr>
          <w:p>
            <w:pPr>
              <w:jc w:val="both"/>
            </w:pPr>
            <w:r>
              <w:rPr>
                <w:lang w:eastAsia="fr-FR" w:bidi="ar-SA"/>
              </w:rPr>
              <w:drawing>
                <wp:inline distT="0" distB="0" distL="0" distR="0">
                  <wp:extent cx="2766695" cy="1664970"/>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69254" cy="1666552"/>
                          </a:xfrm>
                          <a:prstGeom prst="rect">
                            <a:avLst/>
                          </a:prstGeom>
                          <a:noFill/>
                          <a:ln>
                            <a:noFill/>
                          </a:ln>
                        </pic:spPr>
                      </pic:pic>
                    </a:graphicData>
                  </a:graphic>
                </wp:inline>
              </w:drawing>
            </w:r>
          </w:p>
        </w:tc>
        <w:tc>
          <w:tcPr>
            <w:tcW w:w="4519" w:type="dxa"/>
          </w:tcPr>
          <w:p>
            <w:pPr>
              <w:jc w:val="both"/>
            </w:pPr>
            <w:r>
              <w:rPr>
                <w:lang w:eastAsia="fr-FR" w:bidi="ar-SA"/>
              </w:rPr>
              <w:drawing>
                <wp:inline distT="0" distB="0" distL="0" distR="0">
                  <wp:extent cx="2742565" cy="1650365"/>
                  <wp:effectExtent l="0" t="0" r="635" b="6985"/>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747258" cy="1653314"/>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2" w:type="dxa"/>
            <w:gridSpan w:val="2"/>
          </w:tcPr>
          <w:p>
            <w:pPr>
              <w:jc w:val="center"/>
            </w:pPr>
            <w:r>
              <w:rPr>
                <w:rFonts w:asciiTheme="majorBidi" w:hAnsiTheme="majorBidi" w:cstheme="majorBidi"/>
                <w:sz w:val="20"/>
                <w:szCs w:val="20"/>
              </w:rPr>
              <w:t>Low-emission double glazing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543" w:type="dxa"/>
          </w:tcPr>
          <w:p>
            <w:pPr>
              <w:jc w:val="center"/>
            </w:pPr>
            <w:r>
              <w:rPr>
                <w:sz w:val="20"/>
                <w:szCs w:val="20"/>
              </w:rPr>
              <w:t>(a)</w:t>
            </w:r>
          </w:p>
        </w:tc>
        <w:tc>
          <w:tcPr>
            <w:tcW w:w="4519" w:type="dxa"/>
          </w:tcPr>
          <w:p>
            <w:pPr>
              <w:jc w:val="center"/>
            </w:pPr>
            <w:r>
              <w:rPr>
                <w:sz w:val="20"/>
                <w:szCs w:val="20"/>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43" w:type="dxa"/>
          </w:tcPr>
          <w:p>
            <w:pPr>
              <w:jc w:val="center"/>
            </w:pPr>
            <w:r>
              <w:rPr>
                <w:lang w:eastAsia="fr-FR" w:bidi="ar-SA"/>
              </w:rPr>
              <w:drawing>
                <wp:inline distT="0" distB="0" distL="0" distR="0">
                  <wp:extent cx="2698115" cy="1623060"/>
                  <wp:effectExtent l="0" t="0" r="698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10064" cy="1630555"/>
                          </a:xfrm>
                          <a:prstGeom prst="rect">
                            <a:avLst/>
                          </a:prstGeom>
                          <a:noFill/>
                          <a:ln>
                            <a:noFill/>
                          </a:ln>
                        </pic:spPr>
                      </pic:pic>
                    </a:graphicData>
                  </a:graphic>
                </wp:inline>
              </w:drawing>
            </w:r>
          </w:p>
        </w:tc>
        <w:tc>
          <w:tcPr>
            <w:tcW w:w="4519" w:type="dxa"/>
          </w:tcPr>
          <w:p>
            <w:pPr>
              <w:jc w:val="center"/>
            </w:pPr>
            <w:r>
              <w:rPr>
                <w:lang w:eastAsia="fr-FR" w:bidi="ar-SA"/>
              </w:rPr>
              <w:drawing>
                <wp:inline distT="0" distB="0" distL="0" distR="0">
                  <wp:extent cx="2720340" cy="1636395"/>
                  <wp:effectExtent l="0" t="0" r="3810" b="190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41502" cy="1649470"/>
                          </a:xfrm>
                          <a:prstGeom prst="rect">
                            <a:avLst/>
                          </a:prstGeom>
                          <a:noFill/>
                          <a:ln>
                            <a:noFill/>
                          </a:ln>
                        </pic:spPr>
                      </pic:pic>
                    </a:graphicData>
                  </a:graphic>
                </wp:inline>
              </w:drawing>
            </w:r>
          </w:p>
        </w:tc>
      </w:tr>
    </w:tbl>
    <w:p>
      <w:pPr>
        <w:spacing w:line="360" w:lineRule="auto"/>
        <w:jc w:val="center"/>
      </w:pPr>
      <w:r>
        <w:rPr>
          <w:b/>
          <w:bCs/>
          <w:sz w:val="20"/>
          <w:szCs w:val="20"/>
        </w:rPr>
        <w:t>Fig.5 : Annual energy requirement according to glazed surfaces. (a): Heating requirement. (b): Cooling requirement</w:t>
      </w:r>
    </w:p>
    <w:p>
      <w:pPr>
        <w:spacing w:line="360" w:lineRule="auto"/>
        <w:jc w:val="both"/>
        <w:rPr>
          <w:sz w:val="6"/>
          <w:szCs w:val="8"/>
        </w:rPr>
      </w:pPr>
      <w:r>
        <w:t xml:space="preserve"> </w:t>
      </w:r>
    </w:p>
    <w:p>
      <w:pPr>
        <w:spacing w:line="360" w:lineRule="auto"/>
        <w:rPr>
          <w:b/>
          <w:bCs/>
        </w:rPr>
      </w:pPr>
      <w:r>
        <w:rPr>
          <w:b/>
          <w:bCs/>
        </w:rPr>
        <w:t>4.3. Movable sun protection</w:t>
      </w:r>
    </w:p>
    <w:p>
      <w:pPr>
        <w:spacing w:line="360" w:lineRule="auto"/>
        <w:jc w:val="both"/>
      </w:pPr>
      <w:r>
        <w:t>Solar protection reduces energy consumption by reducing summer solar gains. It limits air conditioning consumption while maintaining a stable and comfortable interior temperature. The exterior solar protection will block the heat before it enters the building. The dynamic nature of solar protection and the choice of the appropriate opening coefficient make it possible to maintain sufficient natural light intake to limit the use of artificial light and therefore energy consumption.</w:t>
      </w:r>
    </w:p>
    <w:p>
      <w:pPr>
        <w:spacing w:line="360" w:lineRule="auto"/>
        <w:jc w:val="both"/>
      </w:pPr>
      <w:r>
        <w:t xml:space="preserve">The solar protection chosen is that of external canvas roller blinds, with a solar factor of 0.2 determined according to NF EN 13363-2 standards </w:t>
      </w:r>
      <w:r>
        <w:rPr>
          <w:vertAlign w:val="superscript"/>
        </w:rPr>
        <w:t>[14]</w:t>
      </w:r>
      <w:r>
        <w:t>. The solar factor indicates the proportion of heat that enters the interior of a room of a building compared to the incident solar energy. The lower the coefficient, the higher the thermal comfort.</w:t>
      </w:r>
    </w:p>
    <w:p>
      <w:pPr>
        <w:spacing w:line="360" w:lineRule="auto"/>
        <w:jc w:val="both"/>
      </w:pPr>
      <w:r>
        <w:t>The external blinds are placed on the east, south and west facades, and are regulated facade by facade according to the minimum temperature of the rooms overlooking these facades.</w:t>
      </w:r>
    </w:p>
    <w:p>
      <w:pPr>
        <w:spacing w:line="360" w:lineRule="auto"/>
        <w:jc w:val="both"/>
      </w:pPr>
      <w:r>
        <w:t>According to the results presented in table 4, we note that the annual solar contributions are thus reduced by 20%, which results in a reduction in the demand for cold by 30% but also by an increase in the demand for heat by 7%. This increase is probably due to less heat storage in the mass of the building.</w:t>
      </w:r>
    </w:p>
    <w:p>
      <w:pPr>
        <w:jc w:val="center"/>
        <w:rPr>
          <w:rFonts w:asciiTheme="majorBidi" w:hAnsiTheme="majorBidi" w:cstheme="majorBidi"/>
          <w:sz w:val="22"/>
          <w:szCs w:val="22"/>
        </w:rPr>
      </w:pPr>
      <w:r>
        <w:rPr>
          <w:rFonts w:asciiTheme="majorBidi" w:hAnsiTheme="majorBidi" w:cstheme="majorBidi"/>
          <w:b/>
          <w:bCs/>
          <w:sz w:val="20"/>
          <w:szCs w:val="28"/>
        </w:rPr>
        <w:t xml:space="preserve">Table 4: </w:t>
      </w:r>
      <w:r>
        <w:rPr>
          <w:sz w:val="20"/>
          <w:szCs w:val="20"/>
        </w:rPr>
        <w:t>Annual energy requirement of the building with movable window sun protection</w:t>
      </w:r>
    </w:p>
    <w:tbl>
      <w:tblPr>
        <w:tblStyle w:val="8"/>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30"/>
        <w:gridCol w:w="1985"/>
        <w:gridCol w:w="1843"/>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Bidi" w:hAnsiTheme="majorBidi" w:cstheme="majorBidi"/>
                <w:b/>
                <w:bCs/>
                <w:sz w:val="20"/>
                <w:szCs w:val="20"/>
              </w:rPr>
            </w:pPr>
            <w:r>
              <w:rPr>
                <w:rFonts w:asciiTheme="majorBidi" w:hAnsiTheme="majorBidi" w:cstheme="majorBidi"/>
                <w:b/>
                <w:bCs/>
                <w:sz w:val="20"/>
                <w:szCs w:val="20"/>
              </w:rPr>
              <w:t>Energy requirement</w:t>
            </w:r>
          </w:p>
          <w:p>
            <w:pPr>
              <w:jc w:val="center"/>
              <w:rPr>
                <w:rFonts w:asciiTheme="majorBidi" w:hAnsiTheme="majorBidi" w:cstheme="majorBidi"/>
                <w:b/>
                <w:bCs/>
                <w:sz w:val="20"/>
                <w:szCs w:val="20"/>
              </w:rPr>
            </w:pPr>
            <w:r>
              <w:rPr>
                <w:rFonts w:asciiTheme="majorBidi" w:hAnsiTheme="majorBidi" w:cstheme="majorBidi"/>
                <w:b/>
                <w:bCs/>
                <w:sz w:val="20"/>
                <w:szCs w:val="20"/>
              </w:rPr>
              <w:t>(KWH)</w:t>
            </w:r>
          </w:p>
        </w:tc>
        <w:tc>
          <w:tcPr>
            <w:tcW w:w="1985"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Bidi" w:hAnsiTheme="majorBidi" w:cstheme="majorBidi"/>
                <w:b/>
                <w:bCs/>
                <w:sz w:val="20"/>
                <w:szCs w:val="20"/>
              </w:rPr>
            </w:pPr>
            <w:r>
              <w:rPr>
                <w:rFonts w:asciiTheme="majorBidi" w:hAnsiTheme="majorBidi" w:cstheme="majorBidi"/>
                <w:b/>
                <w:bCs/>
                <w:sz w:val="20"/>
                <w:szCs w:val="20"/>
              </w:rPr>
              <w:t>Without sun protection</w:t>
            </w:r>
          </w:p>
        </w:tc>
        <w:tc>
          <w:tcPr>
            <w:tcW w:w="184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Bidi" w:hAnsiTheme="majorBidi" w:cstheme="majorBidi"/>
                <w:b/>
                <w:bCs/>
                <w:sz w:val="20"/>
                <w:szCs w:val="20"/>
              </w:rPr>
            </w:pPr>
            <w:r>
              <w:rPr>
                <w:rFonts w:asciiTheme="majorBidi" w:hAnsiTheme="majorBidi" w:cstheme="majorBidi"/>
                <w:b/>
                <w:bCs/>
                <w:sz w:val="20"/>
                <w:szCs w:val="20"/>
              </w:rPr>
              <w:t xml:space="preserve">With sun </w:t>
            </w:r>
          </w:p>
          <w:p>
            <w:pPr>
              <w:jc w:val="center"/>
              <w:rPr>
                <w:rFonts w:asciiTheme="majorBidi" w:hAnsiTheme="majorBidi" w:cstheme="majorBidi"/>
                <w:b/>
                <w:bCs/>
                <w:sz w:val="20"/>
                <w:szCs w:val="20"/>
              </w:rPr>
            </w:pPr>
            <w:r>
              <w:rPr>
                <w:rFonts w:asciiTheme="majorBidi" w:hAnsiTheme="majorBidi" w:cstheme="majorBidi"/>
                <w:b/>
                <w:bCs/>
                <w:sz w:val="20"/>
                <w:szCs w:val="20"/>
              </w:rPr>
              <w:t>protection</w:t>
            </w:r>
          </w:p>
        </w:tc>
        <w:tc>
          <w:tcPr>
            <w:tcW w:w="184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Bidi" w:hAnsiTheme="majorBidi" w:cstheme="majorBidi"/>
                <w:b/>
                <w:bCs/>
                <w:sz w:val="20"/>
                <w:szCs w:val="20"/>
              </w:rPr>
            </w:pPr>
            <w:r>
              <w:rPr>
                <w:rFonts w:asciiTheme="majorBidi" w:hAnsiTheme="majorBidi" w:cstheme="majorBidi"/>
                <w:b/>
                <w:bCs/>
                <w:sz w:val="20"/>
                <w:szCs w:val="20"/>
              </w:rPr>
              <w:t>Compared to the original building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Bidi" w:hAnsiTheme="majorBidi" w:cstheme="majorBidi"/>
                <w:sz w:val="20"/>
                <w:szCs w:val="20"/>
              </w:rPr>
            </w:pPr>
            <w:r>
              <w:rPr>
                <w:rFonts w:asciiTheme="majorBidi" w:hAnsiTheme="majorBidi" w:cstheme="majorBidi"/>
                <w:sz w:val="20"/>
                <w:szCs w:val="20"/>
              </w:rPr>
              <w:t xml:space="preserve">Heating </w:t>
            </w:r>
          </w:p>
        </w:tc>
        <w:tc>
          <w:tcPr>
            <w:tcW w:w="1985"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Bidi" w:hAnsiTheme="majorBidi" w:cstheme="majorBidi"/>
                <w:sz w:val="20"/>
                <w:szCs w:val="20"/>
              </w:rPr>
            </w:pPr>
            <w:r>
              <w:rPr>
                <w:rFonts w:asciiTheme="majorBidi" w:hAnsiTheme="majorBidi" w:cstheme="majorBidi"/>
                <w:sz w:val="20"/>
                <w:szCs w:val="20"/>
              </w:rPr>
              <w:t>9300</w:t>
            </w:r>
          </w:p>
        </w:tc>
        <w:tc>
          <w:tcPr>
            <w:tcW w:w="184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Bidi" w:hAnsiTheme="majorBidi" w:cstheme="majorBidi"/>
                <w:sz w:val="20"/>
                <w:szCs w:val="20"/>
              </w:rPr>
            </w:pPr>
            <w:r>
              <w:rPr>
                <w:rFonts w:asciiTheme="majorBidi" w:hAnsiTheme="majorBidi" w:cstheme="majorBidi"/>
                <w:sz w:val="20"/>
                <w:szCs w:val="20"/>
              </w:rPr>
              <w:t>9985</w:t>
            </w:r>
          </w:p>
        </w:tc>
        <w:tc>
          <w:tcPr>
            <w:tcW w:w="184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Bidi" w:hAnsiTheme="majorBidi" w:cstheme="majorBidi"/>
                <w:sz w:val="20"/>
                <w:szCs w:val="20"/>
              </w:rPr>
            </w:pPr>
            <w:r>
              <w:rPr>
                <w:rFonts w:asciiTheme="majorBidi" w:hAnsiTheme="majorBidi" w:cstheme="majorBidi"/>
                <w:sz w:val="20"/>
                <w:szCs w:val="20"/>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Bidi" w:hAnsiTheme="majorBidi" w:cstheme="majorBidi"/>
                <w:sz w:val="20"/>
                <w:szCs w:val="20"/>
              </w:rPr>
            </w:pPr>
            <w:r>
              <w:rPr>
                <w:rFonts w:asciiTheme="majorBidi" w:hAnsiTheme="majorBidi" w:cstheme="majorBidi"/>
                <w:sz w:val="20"/>
                <w:szCs w:val="20"/>
              </w:rPr>
              <w:t xml:space="preserve">Cooling </w:t>
            </w:r>
          </w:p>
        </w:tc>
        <w:tc>
          <w:tcPr>
            <w:tcW w:w="1985"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Bidi" w:hAnsiTheme="majorBidi" w:cstheme="majorBidi"/>
                <w:sz w:val="20"/>
                <w:szCs w:val="20"/>
              </w:rPr>
            </w:pPr>
            <w:r>
              <w:rPr>
                <w:rFonts w:asciiTheme="majorBidi" w:hAnsiTheme="majorBidi" w:cstheme="majorBidi"/>
                <w:sz w:val="20"/>
                <w:szCs w:val="20"/>
              </w:rPr>
              <w:t>11180</w:t>
            </w:r>
          </w:p>
        </w:tc>
        <w:tc>
          <w:tcPr>
            <w:tcW w:w="184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Bidi" w:hAnsiTheme="majorBidi" w:cstheme="majorBidi"/>
                <w:sz w:val="20"/>
                <w:szCs w:val="20"/>
              </w:rPr>
            </w:pPr>
            <w:r>
              <w:rPr>
                <w:rFonts w:asciiTheme="majorBidi" w:hAnsiTheme="majorBidi" w:cstheme="majorBidi"/>
                <w:sz w:val="20"/>
                <w:szCs w:val="20"/>
              </w:rPr>
              <w:t>7830</w:t>
            </w:r>
          </w:p>
        </w:tc>
        <w:tc>
          <w:tcPr>
            <w:tcW w:w="1842"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asciiTheme="majorBidi" w:hAnsiTheme="majorBidi" w:cstheme="majorBidi"/>
                <w:sz w:val="20"/>
                <w:szCs w:val="20"/>
              </w:rPr>
              <w:t>- 30%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Bidi" w:hAnsiTheme="majorBidi" w:cstheme="majorBidi"/>
                <w:sz w:val="20"/>
                <w:szCs w:val="20"/>
              </w:rPr>
            </w:pPr>
            <w:r>
              <w:rPr>
                <w:rFonts w:asciiTheme="majorBidi" w:hAnsiTheme="majorBidi" w:cstheme="majorBidi"/>
                <w:sz w:val="20"/>
                <w:szCs w:val="20"/>
              </w:rPr>
              <w:t>Total</w:t>
            </w:r>
          </w:p>
        </w:tc>
        <w:tc>
          <w:tcPr>
            <w:tcW w:w="1985"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Bidi" w:hAnsiTheme="majorBidi" w:cstheme="majorBidi"/>
                <w:sz w:val="20"/>
                <w:szCs w:val="20"/>
              </w:rPr>
            </w:pPr>
            <w:r>
              <w:rPr>
                <w:rFonts w:asciiTheme="majorBidi" w:hAnsiTheme="majorBidi" w:cstheme="majorBidi"/>
                <w:sz w:val="20"/>
                <w:szCs w:val="20"/>
              </w:rPr>
              <w:t>20480</w:t>
            </w:r>
          </w:p>
        </w:tc>
        <w:tc>
          <w:tcPr>
            <w:tcW w:w="184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Bidi" w:hAnsiTheme="majorBidi" w:cstheme="majorBidi"/>
                <w:sz w:val="20"/>
                <w:szCs w:val="20"/>
              </w:rPr>
            </w:pPr>
            <w:r>
              <w:rPr>
                <w:rFonts w:asciiTheme="majorBidi" w:hAnsiTheme="majorBidi" w:cstheme="majorBidi"/>
                <w:sz w:val="20"/>
                <w:szCs w:val="20"/>
              </w:rPr>
              <w:t>17815</w:t>
            </w:r>
          </w:p>
        </w:tc>
        <w:tc>
          <w:tcPr>
            <w:tcW w:w="184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Bidi" w:hAnsiTheme="majorBidi" w:cstheme="majorBidi"/>
                <w:sz w:val="20"/>
                <w:szCs w:val="20"/>
              </w:rPr>
            </w:pPr>
            <w:r>
              <w:rPr>
                <w:rFonts w:asciiTheme="majorBidi" w:hAnsiTheme="majorBidi" w:cstheme="majorBidi"/>
                <w:sz w:val="20"/>
                <w:szCs w:val="20"/>
              </w:rPr>
              <w:t>13%</w:t>
            </w:r>
          </w:p>
        </w:tc>
      </w:tr>
    </w:tbl>
    <w:p>
      <w:pPr>
        <w:spacing w:line="360" w:lineRule="auto"/>
        <w:rPr>
          <w:b/>
          <w:bCs/>
        </w:rPr>
      </w:pPr>
      <w:r>
        <w:rPr>
          <w:b/>
          <w:bCs/>
        </w:rPr>
        <w:t>4.4. Types of glazing</w:t>
      </w:r>
    </w:p>
    <w:p>
      <w:pPr>
        <w:spacing w:line="360" w:lineRule="auto"/>
        <w:jc w:val="both"/>
      </w:pPr>
      <w:r>
        <w:t>Table 5 presents the different characteristics of the glazing to be installed in order to see their influence on the energy needs of the building.</w:t>
      </w:r>
    </w:p>
    <w:p>
      <w:pPr>
        <w:jc w:val="center"/>
        <w:rPr>
          <w:rFonts w:asciiTheme="majorBidi" w:hAnsiTheme="majorBidi" w:cstheme="majorBidi"/>
          <w:sz w:val="22"/>
          <w:szCs w:val="22"/>
        </w:rPr>
      </w:pPr>
      <w:r>
        <w:rPr>
          <w:rFonts w:asciiTheme="majorBidi" w:hAnsiTheme="majorBidi" w:cstheme="majorBidi"/>
          <w:b/>
          <w:bCs/>
          <w:sz w:val="20"/>
          <w:szCs w:val="28"/>
        </w:rPr>
        <w:t xml:space="preserve">Table 5: </w:t>
      </w:r>
      <w:r>
        <w:rPr>
          <w:rFonts w:asciiTheme="majorBidi" w:hAnsiTheme="majorBidi" w:cstheme="majorBidi"/>
          <w:sz w:val="20"/>
          <w:szCs w:val="28"/>
        </w:rPr>
        <w:t>Glazing characteristics</w:t>
      </w:r>
    </w:p>
    <w:tbl>
      <w:tblPr>
        <w:tblStyle w:val="8"/>
        <w:tblW w:w="89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94"/>
        <w:gridCol w:w="1276"/>
        <w:gridCol w:w="1134"/>
        <w:gridCol w:w="1134"/>
        <w:gridCol w:w="1276"/>
        <w:gridCol w:w="14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9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Bidi" w:hAnsiTheme="majorBidi" w:cstheme="majorBidi"/>
                <w:b/>
                <w:bCs/>
                <w:sz w:val="20"/>
                <w:szCs w:val="20"/>
              </w:rPr>
            </w:pPr>
            <w:bookmarkStart w:id="11" w:name="_Hlk97215659"/>
            <w:r>
              <w:rPr>
                <w:rFonts w:asciiTheme="majorBidi" w:hAnsiTheme="majorBidi" w:cstheme="majorBidi"/>
                <w:b/>
                <w:bCs/>
                <w:sz w:val="20"/>
                <w:szCs w:val="20"/>
              </w:rPr>
              <w:t>Type of glazing</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Bidi" w:hAnsiTheme="majorBidi" w:cstheme="majorBidi"/>
                <w:b/>
                <w:bCs/>
                <w:sz w:val="20"/>
                <w:szCs w:val="20"/>
              </w:rPr>
            </w:pPr>
            <w:r>
              <w:rPr>
                <w:rFonts w:asciiTheme="majorBidi" w:hAnsiTheme="majorBidi" w:cstheme="majorBidi"/>
                <w:b/>
                <w:bCs/>
                <w:sz w:val="20"/>
                <w:szCs w:val="20"/>
              </w:rPr>
              <w:t>Dimension</w:t>
            </w:r>
          </w:p>
          <w:p>
            <w:pPr>
              <w:jc w:val="center"/>
              <w:rPr>
                <w:rFonts w:asciiTheme="majorBidi" w:hAnsiTheme="majorBidi" w:cstheme="majorBidi"/>
                <w:b/>
                <w:bCs/>
                <w:sz w:val="20"/>
                <w:szCs w:val="20"/>
              </w:rPr>
            </w:pPr>
            <w:r>
              <w:rPr>
                <w:rFonts w:asciiTheme="majorBidi" w:hAnsiTheme="majorBidi" w:cstheme="majorBidi"/>
                <w:b/>
                <w:bCs/>
                <w:sz w:val="20"/>
                <w:szCs w:val="20"/>
              </w:rPr>
              <w:t>(m)</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Bidi" w:hAnsiTheme="majorBidi" w:cstheme="majorBidi"/>
                <w:b/>
                <w:bCs/>
                <w:sz w:val="20"/>
                <w:szCs w:val="20"/>
              </w:rPr>
            </w:pPr>
            <w:r>
              <w:rPr>
                <w:rFonts w:asciiTheme="majorBidi" w:hAnsiTheme="majorBidi" w:cstheme="majorBidi"/>
                <w:b/>
                <w:bCs/>
                <w:sz w:val="20"/>
                <w:szCs w:val="20"/>
              </w:rPr>
              <w:t xml:space="preserve"> U (W/m².K)</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Bidi" w:hAnsiTheme="majorBidi" w:cstheme="majorBidi"/>
                <w:b/>
                <w:bCs/>
                <w:sz w:val="20"/>
                <w:szCs w:val="20"/>
              </w:rPr>
            </w:pPr>
            <w:r>
              <w:rPr>
                <w:rFonts w:asciiTheme="majorBidi" w:hAnsiTheme="majorBidi" w:cstheme="majorBidi"/>
                <w:b/>
                <w:bCs/>
                <w:sz w:val="20"/>
                <w:szCs w:val="20"/>
              </w:rPr>
              <w:t>Solar factor</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Bidi" w:hAnsiTheme="majorBidi" w:cstheme="majorBidi"/>
                <w:b/>
                <w:bCs/>
                <w:sz w:val="20"/>
                <w:szCs w:val="20"/>
              </w:rPr>
            </w:pPr>
            <w:r>
              <w:rPr>
                <w:rFonts w:asciiTheme="majorBidi" w:hAnsiTheme="majorBidi" w:cstheme="majorBidi"/>
                <w:b/>
                <w:bCs/>
                <w:sz w:val="20"/>
                <w:szCs w:val="20"/>
              </w:rPr>
              <w:t>Solar reflectance</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Bidi" w:hAnsiTheme="majorBidi" w:cstheme="majorBidi"/>
                <w:b/>
                <w:bCs/>
                <w:sz w:val="20"/>
                <w:szCs w:val="20"/>
              </w:rPr>
            </w:pPr>
            <w:r>
              <w:rPr>
                <w:rFonts w:asciiTheme="majorBidi" w:hAnsiTheme="majorBidi" w:cstheme="majorBidi"/>
                <w:b/>
                <w:bCs/>
                <w:sz w:val="20"/>
                <w:szCs w:val="20"/>
              </w:rPr>
              <w:t xml:space="preserve">Solar transmittance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9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Bidi" w:hAnsiTheme="majorBidi" w:cstheme="majorBidi"/>
                <w:sz w:val="20"/>
                <w:szCs w:val="20"/>
              </w:rPr>
            </w:pPr>
            <w:r>
              <w:rPr>
                <w:rFonts w:asciiTheme="majorBidi" w:hAnsiTheme="majorBidi" w:cstheme="majorBidi"/>
                <w:sz w:val="20"/>
                <w:szCs w:val="20"/>
              </w:rPr>
              <w:t>Single glazing</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Bidi" w:hAnsiTheme="majorBidi" w:cstheme="majorBidi"/>
                <w:sz w:val="20"/>
                <w:szCs w:val="20"/>
              </w:rPr>
            </w:pPr>
            <w:r>
              <w:rPr>
                <w:rFonts w:asciiTheme="majorBidi" w:hAnsiTheme="majorBidi" w:cstheme="majorBidi"/>
                <w:sz w:val="20"/>
                <w:szCs w:val="20"/>
              </w:rPr>
              <w:t>0.80 x 1.00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Bidi" w:hAnsiTheme="majorBidi" w:cstheme="majorBidi"/>
                <w:sz w:val="20"/>
                <w:szCs w:val="20"/>
              </w:rPr>
            </w:pPr>
            <w:r>
              <w:rPr>
                <w:rFonts w:asciiTheme="majorBidi" w:hAnsiTheme="majorBidi" w:cstheme="majorBidi"/>
                <w:sz w:val="20"/>
                <w:szCs w:val="20"/>
              </w:rPr>
              <w:t>6.32</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Bidi" w:hAnsiTheme="majorBidi" w:cstheme="majorBidi"/>
                <w:sz w:val="20"/>
                <w:szCs w:val="20"/>
              </w:rPr>
            </w:pPr>
            <w:r>
              <w:rPr>
                <w:rFonts w:asciiTheme="majorBidi" w:hAnsiTheme="majorBidi" w:cstheme="majorBidi"/>
                <w:sz w:val="20"/>
                <w:szCs w:val="20"/>
              </w:rPr>
              <w:t>0.85</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Bidi" w:hAnsiTheme="majorBidi" w:cstheme="majorBidi"/>
                <w:sz w:val="20"/>
                <w:szCs w:val="20"/>
              </w:rPr>
            </w:pPr>
            <w:r>
              <w:rPr>
                <w:rFonts w:asciiTheme="majorBidi" w:hAnsiTheme="majorBidi" w:cstheme="majorBidi"/>
                <w:sz w:val="20"/>
                <w:szCs w:val="20"/>
              </w:rPr>
              <w:t>0.08</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Bidi" w:hAnsiTheme="majorBidi" w:cstheme="majorBidi"/>
                <w:sz w:val="20"/>
                <w:szCs w:val="20"/>
              </w:rPr>
            </w:pPr>
            <w:r>
              <w:rPr>
                <w:rFonts w:asciiTheme="majorBidi" w:hAnsiTheme="majorBidi" w:cstheme="majorBidi"/>
                <w:sz w:val="20"/>
                <w:szCs w:val="20"/>
              </w:rPr>
              <w:t>0.83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9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Bidi" w:hAnsiTheme="majorBidi" w:cstheme="majorBidi"/>
                <w:sz w:val="20"/>
                <w:szCs w:val="20"/>
              </w:rPr>
            </w:pPr>
            <w:r>
              <w:rPr>
                <w:rFonts w:asciiTheme="majorBidi" w:hAnsiTheme="majorBidi" w:cstheme="majorBidi"/>
                <w:sz w:val="20"/>
                <w:szCs w:val="20"/>
              </w:rPr>
              <w:t>Double glazing</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Bidi" w:hAnsiTheme="majorBidi" w:cstheme="majorBidi"/>
                <w:sz w:val="20"/>
                <w:szCs w:val="20"/>
              </w:rPr>
            </w:pPr>
            <w:r>
              <w:rPr>
                <w:rFonts w:asciiTheme="majorBidi" w:hAnsiTheme="majorBidi" w:cstheme="majorBidi"/>
                <w:sz w:val="20"/>
                <w:szCs w:val="20"/>
              </w:rPr>
              <w:t>0.80 x 1.00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Bidi" w:hAnsiTheme="majorBidi" w:cstheme="majorBidi"/>
                <w:sz w:val="20"/>
                <w:szCs w:val="20"/>
              </w:rPr>
            </w:pPr>
            <w:r>
              <w:rPr>
                <w:rFonts w:asciiTheme="majorBidi" w:hAnsiTheme="majorBidi" w:cstheme="majorBidi"/>
                <w:sz w:val="20"/>
                <w:szCs w:val="20"/>
              </w:rPr>
              <w:t>3.24</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Bidi" w:hAnsiTheme="majorBidi" w:cstheme="majorBidi"/>
                <w:sz w:val="20"/>
                <w:szCs w:val="20"/>
              </w:rPr>
            </w:pPr>
            <w:r>
              <w:rPr>
                <w:rFonts w:asciiTheme="majorBidi" w:hAnsiTheme="majorBidi" w:cstheme="majorBidi"/>
                <w:sz w:val="20"/>
                <w:szCs w:val="20"/>
              </w:rPr>
              <w:t>0.75</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Bidi" w:hAnsiTheme="majorBidi" w:cstheme="majorBidi"/>
                <w:sz w:val="20"/>
                <w:szCs w:val="20"/>
              </w:rPr>
            </w:pPr>
            <w:r>
              <w:rPr>
                <w:rFonts w:asciiTheme="majorBidi" w:hAnsiTheme="majorBidi" w:cstheme="majorBidi"/>
                <w:sz w:val="20"/>
                <w:szCs w:val="20"/>
              </w:rPr>
              <w:t>0.15</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Bidi" w:hAnsiTheme="majorBidi" w:cstheme="majorBidi"/>
                <w:sz w:val="20"/>
                <w:szCs w:val="20"/>
              </w:rPr>
            </w:pPr>
            <w:r>
              <w:rPr>
                <w:rFonts w:asciiTheme="majorBidi" w:hAnsiTheme="majorBidi" w:cstheme="majorBidi"/>
                <w:sz w:val="20"/>
                <w:szCs w:val="20"/>
              </w:rPr>
              <w:t>0.73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69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Bidi" w:hAnsiTheme="majorBidi" w:cstheme="majorBidi"/>
                <w:sz w:val="20"/>
                <w:szCs w:val="20"/>
              </w:rPr>
            </w:pPr>
            <w:r>
              <w:rPr>
                <w:rFonts w:asciiTheme="majorBidi" w:hAnsiTheme="majorBidi" w:cstheme="majorBidi"/>
                <w:sz w:val="20"/>
                <w:szCs w:val="20"/>
              </w:rPr>
              <w:t>Triple glazing</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Bidi" w:hAnsiTheme="majorBidi" w:cstheme="majorBidi"/>
                <w:sz w:val="20"/>
                <w:szCs w:val="20"/>
              </w:rPr>
            </w:pPr>
            <w:r>
              <w:rPr>
                <w:rFonts w:asciiTheme="majorBidi" w:hAnsiTheme="majorBidi" w:cstheme="majorBidi"/>
                <w:sz w:val="20"/>
                <w:szCs w:val="20"/>
              </w:rPr>
              <w:t>0.80 x 1.00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Bidi" w:hAnsiTheme="majorBidi" w:cstheme="majorBidi"/>
                <w:sz w:val="20"/>
                <w:szCs w:val="20"/>
              </w:rPr>
            </w:pPr>
            <w:r>
              <w:rPr>
                <w:rFonts w:asciiTheme="majorBidi" w:hAnsiTheme="majorBidi" w:cstheme="majorBidi"/>
                <w:sz w:val="20"/>
                <w:szCs w:val="20"/>
              </w:rPr>
              <w:t>2.17</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Bidi" w:hAnsiTheme="majorBidi" w:cstheme="majorBidi"/>
                <w:sz w:val="20"/>
                <w:szCs w:val="20"/>
              </w:rPr>
            </w:pPr>
            <w:r>
              <w:rPr>
                <w:rFonts w:asciiTheme="majorBidi" w:hAnsiTheme="majorBidi" w:cstheme="majorBidi"/>
                <w:sz w:val="20"/>
                <w:szCs w:val="20"/>
              </w:rPr>
              <w:t>0.70</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Bidi" w:hAnsiTheme="majorBidi" w:cstheme="majorBidi"/>
                <w:sz w:val="20"/>
                <w:szCs w:val="20"/>
              </w:rPr>
            </w:pPr>
            <w:r>
              <w:rPr>
                <w:rFonts w:asciiTheme="majorBidi" w:hAnsiTheme="majorBidi" w:cstheme="majorBidi"/>
                <w:sz w:val="20"/>
                <w:szCs w:val="20"/>
              </w:rPr>
              <w:t>0.20</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Bidi" w:hAnsiTheme="majorBidi" w:cstheme="majorBidi"/>
                <w:sz w:val="20"/>
                <w:szCs w:val="20"/>
              </w:rPr>
            </w:pPr>
            <w:r>
              <w:rPr>
                <w:rFonts w:asciiTheme="majorBidi" w:hAnsiTheme="majorBidi" w:cstheme="majorBidi"/>
                <w:sz w:val="20"/>
                <w:szCs w:val="20"/>
              </w:rPr>
              <w:t>0.63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9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Bidi" w:hAnsiTheme="majorBidi" w:cstheme="majorBidi"/>
                <w:sz w:val="20"/>
                <w:szCs w:val="20"/>
              </w:rPr>
            </w:pPr>
            <w:r>
              <w:rPr>
                <w:rFonts w:asciiTheme="majorBidi" w:hAnsiTheme="majorBidi" w:cstheme="majorBidi"/>
                <w:sz w:val="20"/>
                <w:szCs w:val="20"/>
              </w:rPr>
              <w:t>Low-emission double glazing</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Bidi" w:hAnsiTheme="majorBidi" w:cstheme="majorBidi"/>
                <w:sz w:val="20"/>
                <w:szCs w:val="20"/>
              </w:rPr>
            </w:pPr>
            <w:r>
              <w:rPr>
                <w:rFonts w:asciiTheme="majorBidi" w:hAnsiTheme="majorBidi" w:cstheme="majorBidi"/>
                <w:sz w:val="20"/>
                <w:szCs w:val="20"/>
              </w:rPr>
              <w:t>0.80 x 1.00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Bidi" w:hAnsiTheme="majorBidi" w:cstheme="majorBidi"/>
                <w:sz w:val="20"/>
                <w:szCs w:val="20"/>
              </w:rPr>
            </w:pPr>
            <w:r>
              <w:rPr>
                <w:rFonts w:asciiTheme="majorBidi" w:hAnsiTheme="majorBidi" w:cstheme="majorBidi"/>
                <w:sz w:val="20"/>
                <w:szCs w:val="20"/>
              </w:rPr>
              <w:t>1.76</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Bidi" w:hAnsiTheme="majorBidi" w:cstheme="majorBidi"/>
                <w:sz w:val="20"/>
                <w:szCs w:val="20"/>
              </w:rPr>
            </w:pPr>
            <w:r>
              <w:rPr>
                <w:rFonts w:asciiTheme="majorBidi" w:hAnsiTheme="majorBidi" w:cstheme="majorBidi"/>
                <w:sz w:val="20"/>
                <w:szCs w:val="20"/>
              </w:rPr>
              <w:t>0.60</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Bidi" w:hAnsiTheme="majorBidi" w:cstheme="majorBidi"/>
                <w:sz w:val="20"/>
                <w:szCs w:val="20"/>
              </w:rPr>
            </w:pPr>
            <w:r>
              <w:rPr>
                <w:rFonts w:asciiTheme="majorBidi" w:hAnsiTheme="majorBidi" w:cstheme="majorBidi"/>
                <w:sz w:val="20"/>
                <w:szCs w:val="20"/>
              </w:rPr>
              <w:t>0.12</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Bidi" w:hAnsiTheme="majorBidi" w:cstheme="majorBidi"/>
                <w:sz w:val="20"/>
                <w:szCs w:val="20"/>
              </w:rPr>
            </w:pPr>
            <w:r>
              <w:rPr>
                <w:rFonts w:asciiTheme="majorBidi" w:hAnsiTheme="majorBidi" w:cstheme="majorBidi"/>
                <w:sz w:val="20"/>
                <w:szCs w:val="20"/>
              </w:rPr>
              <w:t>0.53</w:t>
            </w:r>
          </w:p>
        </w:tc>
      </w:tr>
      <w:bookmarkEnd w:id="11"/>
    </w:tbl>
    <w:p>
      <w:pPr>
        <w:pStyle w:val="17"/>
        <w:jc w:val="both"/>
        <w:rPr>
          <w:color w:val="auto"/>
          <w:sz w:val="20"/>
          <w:szCs w:val="20"/>
        </w:rPr>
      </w:pPr>
    </w:p>
    <w:p>
      <w:pPr>
        <w:spacing w:line="360" w:lineRule="exact"/>
        <w:jc w:val="both"/>
      </w:pPr>
      <w:r>
        <w:t>The results of the annual energy requirement according to the type of windows in the building are shown in Figure 6. We note that the quality of the glazing has a huge influence on the total energy requirement of the building. Indeed, the use of low-emission double-glazed windows brought an energy gain of 5.46%, while the use of triple glazing brought a gain of 4.97%. Consequently, the energy gain is not proportional to the number of glazing that constitutes the window but rather to its thermal quality.</w:t>
      </w:r>
    </w:p>
    <w:p>
      <w:pPr>
        <w:spacing w:line="360" w:lineRule="exact"/>
        <w:jc w:val="both"/>
      </w:pPr>
      <w:r>
        <w:t>We also note that the use of a window with a loss coefficient (U=1.76 W/m².K) three times lower than that of single-glazed windows (U=6.32 W/m².K) has brought a gain very modest compared to the investment cost, however the low-emission double-glazed window will be retained as the optimal case for our building.</w:t>
      </w:r>
    </w:p>
    <w:p>
      <w:pPr>
        <w:spacing w:line="360" w:lineRule="exact"/>
        <w:jc w:val="both"/>
      </w:pPr>
      <w:r>
        <w:t xml:space="preserve">Generally, the annual energy saving of a window depends on several factors: the two parameters specific to the window (U-value and g-value), its orientation, the climatic conditions and the parameters of the building </w:t>
      </w:r>
      <w:r>
        <w:rPr>
          <w:vertAlign w:val="superscript"/>
        </w:rPr>
        <w:t>[15]</w:t>
      </w:r>
      <w:r>
        <w:t>.</w:t>
      </w:r>
    </w:p>
    <w:p>
      <w:pPr>
        <w:spacing w:line="360" w:lineRule="exact"/>
        <w:jc w:val="both"/>
      </w:pPr>
    </w:p>
    <w:p>
      <w:pPr>
        <w:jc w:val="center"/>
      </w:pPr>
      <w:r>
        <w:rPr>
          <w:lang w:eastAsia="fr-FR" w:bidi="ar-SA"/>
        </w:rPr>
        <w:drawing>
          <wp:inline distT="0" distB="0" distL="0" distR="0">
            <wp:extent cx="4179570" cy="2842895"/>
            <wp:effectExtent l="0" t="0" r="11430" b="14605"/>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spacing w:line="360" w:lineRule="auto"/>
        <w:jc w:val="center"/>
      </w:pPr>
      <w:r>
        <w:rPr>
          <w:b/>
          <w:bCs/>
          <w:sz w:val="20"/>
          <w:szCs w:val="20"/>
        </w:rPr>
        <w:t>Fig.6 : Annual energy requirement according to window types</w:t>
      </w:r>
    </w:p>
    <w:p>
      <w:pPr>
        <w:spacing w:line="360" w:lineRule="auto"/>
        <w:rPr>
          <w:b/>
          <w:bCs/>
        </w:rPr>
      </w:pPr>
      <w:r>
        <w:rPr>
          <w:b/>
          <w:bCs/>
        </w:rPr>
        <w:t>4.5. Types of building materials</w:t>
      </w:r>
    </w:p>
    <w:p>
      <w:pPr>
        <w:spacing w:line="360" w:lineRule="auto"/>
        <w:jc w:val="both"/>
      </w:pPr>
      <w:r>
        <w:t xml:space="preserve">The building envelope plays a role of thermal separation between the interior and exterior atmosphere. It ensures the storage of heat in the building and then distributes it to the indoor and outdoor air </w:t>
      </w:r>
      <w:r>
        <w:rPr>
          <w:vertAlign w:val="superscript"/>
        </w:rPr>
        <w:t>[16-18]</w:t>
      </w:r>
      <w:r>
        <w:t>.</w:t>
      </w:r>
    </w:p>
    <w:p>
      <w:pPr>
        <w:spacing w:line="360" w:lineRule="auto"/>
      </w:pPr>
      <w:r>
        <w:t>Figure 7 gives the energy requirement of the building for some building materials. We note that the use of a double partition 30 cm thick allows a gain of 22% while the replacement of the hollow brick wall (e = 15cm) by another hollow brick wall but of different thickness (e = 10cm) allows a drop in energy performance of 11.20%. For a stone wall 45 cm thick, there is a reduction in energy consumption which can reach 11.70%.</w:t>
      </w:r>
    </w:p>
    <w:p>
      <w:pPr>
        <w:spacing w:line="360" w:lineRule="auto"/>
        <w:jc w:val="both"/>
      </w:pPr>
      <w:r>
        <w:t>The results also show that the energy requirement for air conditioning is greater than that for heating, which leads us to choose materials that allow passive cooling and lower the need for heating.</w:t>
      </w:r>
    </w:p>
    <w:p>
      <w:pPr>
        <w:spacing w:line="360" w:lineRule="auto"/>
        <w:jc w:val="center"/>
      </w:pPr>
      <w:r>
        <w:rPr>
          <w:lang w:eastAsia="fr-FR" w:bidi="ar-SA"/>
        </w:rPr>
        <w:drawing>
          <wp:inline distT="0" distB="0" distL="0" distR="0">
            <wp:extent cx="4572000" cy="2743200"/>
            <wp:effectExtent l="0" t="0" r="0" b="0"/>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spacing w:line="360" w:lineRule="auto"/>
        <w:jc w:val="center"/>
        <w:rPr>
          <w:b/>
          <w:bCs/>
          <w:sz w:val="20"/>
          <w:szCs w:val="20"/>
        </w:rPr>
      </w:pPr>
      <w:bookmarkStart w:id="12" w:name="_Hlk96896559"/>
      <w:r>
        <w:rPr>
          <w:b/>
          <w:bCs/>
          <w:sz w:val="20"/>
          <w:szCs w:val="20"/>
        </w:rPr>
        <w:t xml:space="preserve">Fig.7 : Annual energy requirement according to the type of building materials </w:t>
      </w:r>
    </w:p>
    <w:bookmarkEnd w:id="12"/>
    <w:p>
      <w:pPr>
        <w:spacing w:line="360" w:lineRule="auto"/>
        <w:rPr>
          <w:b/>
          <w:bCs/>
          <w:sz w:val="20"/>
          <w:szCs w:val="20"/>
        </w:rPr>
      </w:pPr>
    </w:p>
    <w:p>
      <w:pPr>
        <w:spacing w:line="360" w:lineRule="auto"/>
        <w:rPr>
          <w:b/>
          <w:bCs/>
        </w:rPr>
      </w:pPr>
      <w:r>
        <w:rPr>
          <w:b/>
          <w:bCs/>
        </w:rPr>
        <w:t>4.6. Wall insulation</w:t>
      </w:r>
    </w:p>
    <w:p>
      <w:pPr>
        <w:spacing w:line="360" w:lineRule="auto"/>
        <w:jc w:val="both"/>
      </w:pPr>
      <w:r>
        <w:t>Figure 8 gives the values of the building's energy requirements when using thermal insulation of the expanded polystyrene type with thermal conductivity λ = 0.042 W/m.K. We note that the insulation of the exterior walls and the roof with a thickness of 7 cm of polystyrene gave a reduction rate in energy consumption of 21% and 35% respectively. This difference is explained by the fact that the insulation of the roof allows the reduction of the energy need for heating and air conditioning, on the other hand the insulation of the exterior walls only allows the reduction of the need for heating.</w:t>
      </w:r>
    </w:p>
    <w:p>
      <w:pPr>
        <w:spacing w:line="360" w:lineRule="auto"/>
        <w:jc w:val="center"/>
      </w:pPr>
      <w:r>
        <w:rPr>
          <w:lang w:eastAsia="fr-FR" w:bidi="ar-SA"/>
        </w:rPr>
        <w:drawing>
          <wp:inline distT="0" distB="0" distL="0" distR="0">
            <wp:extent cx="4572000" cy="2743200"/>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spacing w:line="360" w:lineRule="auto"/>
        <w:jc w:val="center"/>
        <w:rPr>
          <w:b/>
          <w:bCs/>
          <w:sz w:val="20"/>
          <w:szCs w:val="20"/>
        </w:rPr>
      </w:pPr>
      <w:r>
        <w:rPr>
          <w:b/>
          <w:bCs/>
          <w:sz w:val="20"/>
          <w:szCs w:val="20"/>
        </w:rPr>
        <w:t>Fig.8 : Annual energy requirement according to insulation thickness</w:t>
      </w:r>
    </w:p>
    <w:p>
      <w:pPr>
        <w:spacing w:line="360" w:lineRule="auto"/>
        <w:jc w:val="center"/>
        <w:rPr>
          <w:b/>
          <w:bCs/>
          <w:sz w:val="20"/>
          <w:szCs w:val="20"/>
        </w:rPr>
      </w:pPr>
    </w:p>
    <w:p>
      <w:pPr>
        <w:spacing w:line="360" w:lineRule="auto"/>
        <w:jc w:val="center"/>
        <w:rPr>
          <w:b/>
          <w:bCs/>
          <w:sz w:val="20"/>
          <w:szCs w:val="20"/>
        </w:rPr>
      </w:pPr>
    </w:p>
    <w:p>
      <w:pPr>
        <w:spacing w:line="360" w:lineRule="auto"/>
        <w:rPr>
          <w:b/>
          <w:bCs/>
          <w:sz w:val="20"/>
          <w:szCs w:val="20"/>
        </w:rPr>
      </w:pPr>
      <w:r>
        <w:rPr>
          <w:b/>
          <w:bCs/>
          <w:sz w:val="20"/>
          <w:szCs w:val="20"/>
        </w:rPr>
        <w:t>CONCLUSION</w:t>
      </w:r>
    </w:p>
    <w:p>
      <w:pPr>
        <w:spacing w:line="360" w:lineRule="auto"/>
        <w:jc w:val="both"/>
      </w:pPr>
      <w:r>
        <w:t>This paper presented the impact that certain choices made during the design of a building can have on its energy balance. The following results can be deduced:</w:t>
      </w:r>
    </w:p>
    <w:p>
      <w:pPr>
        <w:pStyle w:val="21"/>
        <w:numPr>
          <w:ilvl w:val="0"/>
          <w:numId w:val="8"/>
        </w:numPr>
        <w:spacing w:line="360" w:lineRule="auto"/>
        <w:jc w:val="both"/>
      </w:pPr>
      <w:r>
        <w:t>Changing the North-South orientation of the building to East-West increased the demand for heating and air conditioning respectively by 5% and 11% for a total increase in consumption of 3%.</w:t>
      </w:r>
    </w:p>
    <w:p>
      <w:pPr>
        <w:pStyle w:val="21"/>
        <w:numPr>
          <w:ilvl w:val="0"/>
          <w:numId w:val="8"/>
        </w:numPr>
        <w:spacing w:line="360" w:lineRule="auto"/>
        <w:jc w:val="both"/>
      </w:pPr>
      <w:r>
        <w:t>The replacement of single-glazed windows with low-emission double-glazed windows brought an energy gain of 5.46%.</w:t>
      </w:r>
    </w:p>
    <w:p>
      <w:pPr>
        <w:pStyle w:val="21"/>
        <w:numPr>
          <w:ilvl w:val="0"/>
          <w:numId w:val="8"/>
        </w:numPr>
        <w:spacing w:line="360" w:lineRule="auto"/>
        <w:jc w:val="both"/>
      </w:pPr>
      <w:r>
        <w:t>The energy gain is not proportional to the number of glazing that constitutes a window but rather to the thermal quality of the window itself.</w:t>
      </w:r>
    </w:p>
    <w:p>
      <w:pPr>
        <w:pStyle w:val="21"/>
        <w:numPr>
          <w:ilvl w:val="0"/>
          <w:numId w:val="8"/>
        </w:numPr>
        <w:spacing w:line="360" w:lineRule="auto"/>
        <w:jc w:val="both"/>
      </w:pPr>
      <w:r>
        <w:t>The use of single glazing with a heat transfer coefficient U=6.32W/m².K did not result in an energy gain for all the facades, including the southern one. For double-glazed windows, it is absolutely necessary to avoid arranging them on the north facade, otherwise the energy needs will explode simultaneously with the increase in the glazed surface.</w:t>
      </w:r>
    </w:p>
    <w:p>
      <w:pPr>
        <w:pStyle w:val="21"/>
        <w:numPr>
          <w:ilvl w:val="0"/>
          <w:numId w:val="8"/>
        </w:numPr>
        <w:spacing w:line="360" w:lineRule="auto"/>
        <w:jc w:val="both"/>
      </w:pPr>
      <w:r>
        <w:t>The study of permanent solar protection showed that the energy requirement for heating increased inversely to air conditioning, which recorded a drop of more than 30%, ultimately arriving at a total energy gain of more than 13%.</w:t>
      </w:r>
    </w:p>
    <w:p>
      <w:pPr>
        <w:pStyle w:val="21"/>
        <w:numPr>
          <w:ilvl w:val="0"/>
          <w:numId w:val="8"/>
        </w:numPr>
        <w:spacing w:line="360" w:lineRule="auto"/>
        <w:jc w:val="both"/>
      </w:pPr>
      <w:r>
        <w:t>The building envelope has a significant impact on energy consumption. However, the replacement of the hollow brick wall (e = 15cm) by a double partition (e = 30 cm) resulted in a 22% drop in energy consumption.</w:t>
      </w:r>
    </w:p>
    <w:p>
      <w:pPr>
        <w:pStyle w:val="21"/>
        <w:numPr>
          <w:ilvl w:val="0"/>
          <w:numId w:val="8"/>
        </w:numPr>
        <w:spacing w:line="360" w:lineRule="auto"/>
        <w:jc w:val="both"/>
      </w:pPr>
      <w:r>
        <w:t>Insulation of the roof using expanded polystyrene 7 cm thick resulted in a 35% reduction in energy consumption. On the other hand, the insulation of the wall is not too profitable for a conditioned building.</w:t>
      </w:r>
    </w:p>
    <w:p>
      <w:pPr>
        <w:spacing w:line="360" w:lineRule="auto"/>
        <w:jc w:val="both"/>
        <w:rPr>
          <w:sz w:val="32"/>
          <w:szCs w:val="28"/>
        </w:rPr>
      </w:pPr>
    </w:p>
    <w:p>
      <w:pPr>
        <w:spacing w:line="360" w:lineRule="auto"/>
        <w:jc w:val="both"/>
      </w:pPr>
    </w:p>
    <w:p>
      <w:pPr>
        <w:spacing w:line="360" w:lineRule="auto"/>
        <w:jc w:val="both"/>
        <w:rPr>
          <w:b/>
          <w:bCs/>
        </w:rPr>
      </w:pPr>
      <w:r>
        <w:rPr>
          <w:b/>
          <w:bCs/>
        </w:rPr>
        <w:t xml:space="preserve">References </w:t>
      </w:r>
    </w:p>
    <w:p>
      <w:pPr>
        <w:spacing w:line="360" w:lineRule="auto"/>
        <w:jc w:val="both"/>
      </w:pPr>
      <w:r>
        <w:t>[1] BPIE. Buildings performance institute Europe. Europe's buildings under the microscope. 2011.</w:t>
      </w:r>
    </w:p>
    <w:p>
      <w:pPr>
        <w:spacing w:line="360" w:lineRule="auto"/>
        <w:jc w:val="both"/>
      </w:pPr>
      <w:r>
        <w:t>[2] Heo Y, Choudhary R, Augenbroe GA. Calibration of building energy models for retrofit analysis under uncertainty. Energy Building 2012;47:550e60</w:t>
      </w:r>
    </w:p>
    <w:p>
      <w:pPr>
        <w:spacing w:line="360" w:lineRule="auto"/>
        <w:jc w:val="both"/>
        <w:rPr>
          <w:b/>
          <w:bCs/>
        </w:rPr>
      </w:pPr>
      <w:r>
        <w:t>[3] J. Goulding, O. Lewis, T. Steemers (Eds.), Energy in Architecture: The European Passive Solar Handbook, Batsford for the Commission of the European Communities, 1992</w:t>
      </w:r>
    </w:p>
    <w:p>
      <w:pPr>
        <w:spacing w:line="360" w:lineRule="auto"/>
        <w:jc w:val="both"/>
        <w:rPr>
          <w:b/>
          <w:bCs/>
        </w:rPr>
      </w:pPr>
      <w:r>
        <w:t>[4] Jermyn D, Richman R. A process for developing deep energy retrofit strategies for single-family housing typologies: three Toronto case studies. Energy Building 2016;116:522e34</w:t>
      </w:r>
    </w:p>
    <w:p>
      <w:pPr>
        <w:spacing w:line="360" w:lineRule="auto"/>
        <w:jc w:val="both"/>
      </w:pPr>
      <w:r>
        <w:rPr>
          <w:b/>
          <w:bCs/>
        </w:rPr>
        <w:t>[</w:t>
      </w:r>
      <w:r>
        <w:t>5] International Energy Agency (IEA), 2015.</w:t>
      </w:r>
    </w:p>
    <w:p>
      <w:pPr>
        <w:spacing w:line="360" w:lineRule="auto"/>
        <w:jc w:val="both"/>
        <w:rPr>
          <w:rFonts w:asciiTheme="majorBidi" w:hAnsiTheme="majorBidi" w:cstheme="majorBidi"/>
        </w:rPr>
      </w:pPr>
      <w:r>
        <w:fldChar w:fldCharType="begin"/>
      </w:r>
      <w:r>
        <w:instrText xml:space="preserve"> HYPERLINK "http://www.iea.org/newsroomandevents/pressreleases/2015/november/low-prices-should-give-no-cause-for-complacency-on-energy-security-iea-says.html" </w:instrText>
      </w:r>
      <w:r>
        <w:fldChar w:fldCharType="separate"/>
      </w:r>
      <w:r>
        <w:rPr>
          <w:rFonts w:asciiTheme="majorBidi" w:hAnsiTheme="majorBidi" w:cstheme="majorBidi"/>
        </w:rPr>
        <w:t>http://www.iea.org/newsroomandevents/pressreleases/2015/november/low-prices-should-give-no-cause-for-complacency-on-energy-security-iea-says.html</w:t>
      </w:r>
      <w:r>
        <w:rPr>
          <w:rFonts w:asciiTheme="majorBidi" w:hAnsiTheme="majorBidi" w:cstheme="majorBidi"/>
        </w:rPr>
        <w:fldChar w:fldCharType="end"/>
      </w:r>
      <w:r>
        <w:rPr>
          <w:rFonts w:asciiTheme="majorBidi" w:hAnsiTheme="majorBidi" w:cstheme="majorBidi"/>
        </w:rPr>
        <w:t>.</w:t>
      </w:r>
    </w:p>
    <w:p>
      <w:pPr>
        <w:spacing w:line="360" w:lineRule="auto"/>
        <w:jc w:val="both"/>
      </w:pPr>
      <w:r>
        <w:t>[6] M. Alwetaishi and 1, O. Benjeddou. Impact of Window to Wall Ratio on Energy Loads in Hot Regions: A Study of Building Energy Performance, Energies, 14, 1080, 2021. doi.org/10.3390/en14041080.</w:t>
      </w:r>
    </w:p>
    <w:p>
      <w:pPr>
        <w:spacing w:line="360" w:lineRule="auto"/>
        <w:jc w:val="both"/>
      </w:pPr>
      <w:r>
        <w:t>[7] M. Alwetaishi and A. Taki. Investigation into energy performance of a school building in a hot climate: Optimum of window-to-wall ratio. Indoor Built Environ. 2020, 29, 24–39, doi:10.1177/1420326X19842313.</w:t>
      </w:r>
    </w:p>
    <w:p>
      <w:pPr>
        <w:spacing w:line="360" w:lineRule="auto"/>
        <w:jc w:val="both"/>
      </w:pPr>
      <w:r>
        <w:t>[8] J.W. Lee; H.J. Jung; J.Y. Park, J.B. Lee; Y. Yoon. Optimization of building window system in Asian regions by analyzing solar heat gain and daylighting elements, Renew. Energy 2013, 50, 522–531, doi:10.1016/j.renene.2012.07.029.</w:t>
      </w:r>
    </w:p>
    <w:p>
      <w:pPr>
        <w:spacing w:line="360" w:lineRule="auto"/>
        <w:jc w:val="both"/>
      </w:pPr>
      <w:r>
        <w:t>[9] C. Bouden and N. Ghrab, “An Adaptive Thermal Comfort Model for the Tunisian Context : A Field Study Results”</w:t>
      </w:r>
      <w:r>
        <w:rPr>
          <w:i/>
          <w:iCs/>
        </w:rPr>
        <w:t xml:space="preserve">, </w:t>
      </w:r>
      <w:r>
        <w:t>Energy and Buildings, vol. 37, n°9, pp. 952 – 963, 2005.</w:t>
      </w:r>
    </w:p>
    <w:p>
      <w:pPr>
        <w:spacing w:line="360" w:lineRule="auto"/>
        <w:jc w:val="both"/>
      </w:pPr>
      <w:r>
        <w:t>[10] X. Su, X. Zhang. Environmental performance optimization of window-wall ratio for different window type in hot summer and cold winter zone in China based on life cycle assessment, Energy and Buildings. 2010, 42, 198–202, doi:10.1016/j.enbuild.2009.08.015.</w:t>
      </w:r>
    </w:p>
    <w:p>
      <w:pPr>
        <w:spacing w:line="360" w:lineRule="auto"/>
        <w:jc w:val="both"/>
      </w:pPr>
      <w:r>
        <w:t>[11] N. Bouchlaghem. Optimising the design of building envelopes for thermal performance, Automation in Construction. 2000, 10, 101–112, doi:10.1016/S0926-5805(99)00043-6.</w:t>
      </w:r>
    </w:p>
    <w:p>
      <w:pPr>
        <w:spacing w:line="360" w:lineRule="auto"/>
        <w:jc w:val="both"/>
      </w:pPr>
    </w:p>
    <w:p>
      <w:pPr>
        <w:spacing w:line="360" w:lineRule="auto"/>
        <w:jc w:val="both"/>
      </w:pPr>
    </w:p>
    <w:p>
      <w:pPr>
        <w:spacing w:line="360" w:lineRule="auto"/>
        <w:contextualSpacing/>
        <w:jc w:val="both"/>
        <w:rPr>
          <w:rFonts w:cs="Mangal"/>
          <w:szCs w:val="21"/>
        </w:rPr>
      </w:pPr>
      <w:r>
        <w:rPr>
          <w:rFonts w:cs="Mangal"/>
          <w:szCs w:val="21"/>
        </w:rPr>
        <w:t>[12] University of Wisconsin-Madison Solar Energy Laboratory, TRANSSOLAR Energietechnik GmbH, CSTB, and TESS, TRNSYS User’s Manual, a TRaNsient SYstem Simulation program, 16 ed., 2006</w:t>
      </w:r>
    </w:p>
    <w:p>
      <w:pPr>
        <w:keepNext/>
        <w:keepLines/>
        <w:spacing w:line="360" w:lineRule="auto"/>
        <w:jc w:val="both"/>
        <w:outlineLvl w:val="0"/>
        <w:rPr>
          <w:rFonts w:eastAsia="SimSun, 宋体" w:asciiTheme="majorBidi" w:hAnsiTheme="majorBidi" w:cstheme="majorBidi"/>
          <w:lang w:bidi="ar-SA"/>
        </w:rPr>
      </w:pPr>
      <w:r>
        <w:rPr>
          <w:rFonts w:eastAsia="SimSun, 宋体" w:asciiTheme="majorBidi" w:hAnsiTheme="majorBidi" w:cstheme="majorBidi"/>
          <w:lang w:bidi="ar-SA"/>
        </w:rPr>
        <w:t>[13] NF EN 410 April 2011.</w:t>
      </w:r>
      <w:r>
        <w:rPr>
          <w:rFonts w:ascii="Roboto" w:hAnsi="Roboto" w:eastAsia="Times New Roman" w:cs="Times New Roman"/>
          <w:kern w:val="0"/>
          <w:sz w:val="27"/>
          <w:szCs w:val="27"/>
          <w:lang w:eastAsia="fr-FR" w:bidi="ar-SA"/>
        </w:rPr>
        <w:t xml:space="preserve"> </w:t>
      </w:r>
      <w:r>
        <w:rPr>
          <w:rFonts w:eastAsia="SimSun, 宋体" w:asciiTheme="majorBidi" w:hAnsiTheme="majorBidi" w:cstheme="majorBidi"/>
          <w:lang w:bidi="ar-SA"/>
        </w:rPr>
        <w:t>Glass in construction - Determination of the luminous and solar characteristics of glazing</w:t>
      </w:r>
    </w:p>
    <w:p>
      <w:pPr>
        <w:keepNext/>
        <w:keepLines/>
        <w:shd w:val="clear" w:color="auto" w:fill="FFFFFF"/>
        <w:spacing w:line="360" w:lineRule="auto"/>
        <w:jc w:val="both"/>
        <w:outlineLvl w:val="0"/>
        <w:rPr>
          <w:rFonts w:eastAsia="SimSun, 宋体" w:asciiTheme="majorBidi" w:hAnsiTheme="majorBidi" w:cstheme="majorBidi"/>
          <w:lang w:bidi="ar-SA"/>
        </w:rPr>
      </w:pPr>
      <w:r>
        <w:rPr>
          <w:rFonts w:eastAsia="SimSun, 宋体" w:asciiTheme="majorBidi" w:hAnsiTheme="majorBidi" w:cstheme="majorBidi"/>
          <w:lang w:bidi="ar-SA"/>
        </w:rPr>
        <w:t>[14] NF EN 13363-2November 2005. Solar protection devices combined with glazing - Calculation of total solar energy transmittance and light transmittance - Part 2 : detailed calculation method</w:t>
      </w:r>
    </w:p>
    <w:p>
      <w:pPr>
        <w:spacing w:line="360" w:lineRule="auto"/>
        <w:jc w:val="both"/>
      </w:pPr>
      <w:r>
        <w:t>[15] M.C. Singh, S.N. Garg, Energy rating of different glazings for indian climates, Energy 34 (11) (2009) 1986–1992, ISSN 0360-5442.</w:t>
      </w:r>
    </w:p>
    <w:p>
      <w:pPr>
        <w:widowControl/>
        <w:snapToGrid w:val="0"/>
        <w:spacing w:line="360" w:lineRule="auto"/>
        <w:jc w:val="both"/>
        <w:textAlignment w:val="auto"/>
        <w:rPr>
          <w:rFonts w:eastAsia="SimSun, 宋体" w:asciiTheme="majorBidi" w:hAnsiTheme="majorBidi" w:cstheme="majorBidi"/>
          <w:szCs w:val="40"/>
          <w:lang w:val="en-US" w:bidi="ar-SA"/>
        </w:rPr>
      </w:pPr>
      <w:r>
        <w:rPr>
          <w:rFonts w:eastAsia="SimSun, 宋体" w:asciiTheme="majorBidi" w:hAnsiTheme="majorBidi" w:cstheme="majorBidi"/>
          <w:kern w:val="0"/>
          <w:lang w:val="en-US" w:eastAsia="fr-FR" w:bidi="ar-SA"/>
        </w:rPr>
        <w:t>[16] C.K. Cheung, R.J. Fuller and M.B. Luther, Energy Efficient Envelope Design for High Rise Apartments,</w:t>
      </w:r>
      <w:r>
        <w:rPr>
          <w:rFonts w:eastAsia="SimSun, 宋体" w:asciiTheme="majorBidi" w:hAnsiTheme="majorBidi" w:cstheme="majorBidi"/>
          <w:szCs w:val="40"/>
          <w:lang w:val="en-US" w:bidi="ar-SA"/>
        </w:rPr>
        <w:t xml:space="preserve"> </w:t>
      </w:r>
      <w:r>
        <w:rPr>
          <w:rFonts w:eastAsia="SimSun, 宋体" w:asciiTheme="majorBidi" w:hAnsiTheme="majorBidi" w:cstheme="majorBidi"/>
          <w:kern w:val="0"/>
          <w:lang w:val="en-US" w:eastAsia="fr-FR" w:bidi="ar-SA"/>
        </w:rPr>
        <w:t>Energy and Building, vol. 37, n°1, pp. 37 – 48, 2005.</w:t>
      </w:r>
    </w:p>
    <w:p>
      <w:pPr>
        <w:widowControl/>
        <w:snapToGrid w:val="0"/>
        <w:spacing w:line="360" w:lineRule="auto"/>
        <w:jc w:val="both"/>
        <w:textAlignment w:val="auto"/>
        <w:rPr>
          <w:rFonts w:eastAsia="SimSun, 宋体" w:asciiTheme="majorBidi" w:hAnsiTheme="majorBidi" w:cstheme="majorBidi"/>
          <w:szCs w:val="40"/>
          <w:lang w:val="en-US" w:bidi="ar-SA"/>
        </w:rPr>
      </w:pPr>
      <w:r>
        <w:rPr>
          <w:rFonts w:eastAsia="SimSun, 宋体" w:asciiTheme="majorBidi" w:hAnsiTheme="majorBidi" w:cstheme="majorBidi"/>
          <w:kern w:val="0"/>
          <w:lang w:val="en-US" w:eastAsia="fr-FR" w:bidi="ar-SA"/>
        </w:rPr>
        <w:t>[17] V. Cheng, E. Ng and B. Givoni, Effect of Envelope Colour and Thermal Mass on Indoor Temperatures</w:t>
      </w:r>
      <w:r>
        <w:rPr>
          <w:rFonts w:eastAsia="SimSun, 宋体" w:asciiTheme="majorBidi" w:hAnsiTheme="majorBidi" w:cstheme="majorBidi"/>
          <w:szCs w:val="40"/>
          <w:lang w:val="en-US" w:bidi="ar-SA"/>
        </w:rPr>
        <w:t xml:space="preserve"> </w:t>
      </w:r>
      <w:r>
        <w:rPr>
          <w:rFonts w:eastAsia="SimSun, 宋体" w:asciiTheme="majorBidi" w:hAnsiTheme="majorBidi" w:cstheme="majorBidi"/>
          <w:kern w:val="0"/>
          <w:lang w:val="en-US" w:eastAsia="fr-FR" w:bidi="ar-SA"/>
        </w:rPr>
        <w:t>in Hot Humid Climate, Solar Energy, vol. n°4, pp. 528 – 534, 2004.</w:t>
      </w:r>
    </w:p>
    <w:p>
      <w:pPr>
        <w:widowControl/>
        <w:snapToGrid w:val="0"/>
        <w:spacing w:line="360" w:lineRule="auto"/>
        <w:jc w:val="both"/>
        <w:textAlignment w:val="auto"/>
        <w:rPr>
          <w:rFonts w:eastAsia="SimSun, 宋体" w:asciiTheme="majorBidi" w:hAnsiTheme="majorBidi" w:cstheme="majorBidi"/>
          <w:szCs w:val="40"/>
          <w:lang w:bidi="ar-SA"/>
        </w:rPr>
      </w:pPr>
      <w:r>
        <w:rPr>
          <w:rFonts w:eastAsia="SimSun, 宋体" w:asciiTheme="majorBidi" w:hAnsiTheme="majorBidi" w:cstheme="majorBidi"/>
          <w:kern w:val="0"/>
          <w:lang w:val="en-US" w:eastAsia="fr-FR" w:bidi="ar-SA"/>
        </w:rPr>
        <w:t xml:space="preserve">[18] </w:t>
      </w:r>
      <w:r>
        <w:rPr>
          <w:rFonts w:eastAsia="SimSun, 宋体" w:asciiTheme="majorBidi" w:hAnsiTheme="majorBidi" w:cstheme="majorBidi"/>
          <w:kern w:val="0"/>
          <w:lang w:eastAsia="fr-FR" w:bidi="ar-SA"/>
        </w:rPr>
        <w:t xml:space="preserve">S. </w:t>
      </w:r>
      <w:r>
        <w:t>Somasundaram, S.R. Thangavelu, A. Chong. Effect of Existing Façade’s Construction and Orientation on the Performance of Low-E-Based Retrofit Double Glazing in Tropical Climate. Energies 2016, 13, 2016.</w:t>
      </w:r>
    </w:p>
    <w:sectPr>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 w:name="DejaVu Sans">
    <w:altName w:val="Times New Roman"/>
    <w:panose1 w:val="00000000000000000000"/>
    <w:charset w:val="00"/>
    <w:family w:val="auto"/>
    <w:pitch w:val="default"/>
    <w:sig w:usb0="00000000" w:usb1="00000000" w:usb2="00000000" w:usb3="00000000" w:csb0="00000000" w:csb1="00000000"/>
  </w:font>
  <w:font w:name="Lohit Hindi">
    <w:altName w:val="Times New Roman"/>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angal">
    <w:panose1 w:val="02040503050203030202"/>
    <w:charset w:val="00"/>
    <w:family w:val="roman"/>
    <w:pitch w:val="default"/>
    <w:sig w:usb0="00008003" w:usb1="00000000" w:usb2="00000000" w:usb3="00000000" w:csb0="00000001" w:csb1="00000000"/>
  </w:font>
  <w:font w:name="SimSun, 宋体">
    <w:altName w:val="Times New Roman"/>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等线">
    <w:altName w:val="微软雅黑"/>
    <w:panose1 w:val="00000000000000000000"/>
    <w:charset w:val="8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Roboto">
    <w:altName w:val="Segoe Print"/>
    <w:panose1 w:val="00000000000000000000"/>
    <w:charset w:val="00"/>
    <w:family w:val="auto"/>
    <w:pitch w:val="default"/>
    <w:sig w:usb0="00000000" w:usb1="00000000" w:usb2="0000002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9A3071"/>
    <w:multiLevelType w:val="multilevel"/>
    <w:tmpl w:val="1A9A30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52C46EA"/>
    <w:multiLevelType w:val="multilevel"/>
    <w:tmpl w:val="552C46E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7E36C0F"/>
    <w:multiLevelType w:val="multilevel"/>
    <w:tmpl w:val="57E36C0F"/>
    <w:lvl w:ilvl="0" w:tentative="0">
      <w:start w:val="1"/>
      <w:numFmt w:val="decimal"/>
      <w:pStyle w:val="24"/>
      <w:lvlText w:val="%1."/>
      <w:lvlJc w:val="left"/>
      <w:pPr>
        <w:ind w:left="288" w:hanging="288"/>
      </w:pPr>
      <w:rPr>
        <w:b w:val="0"/>
        <w:bCs/>
        <w:i/>
        <w:iCs w:val="0"/>
        <w:caps/>
        <w:strike w:val="0"/>
        <w:dstrike w:val="0"/>
        <w:outline w:val="0"/>
        <w:shadow w:val="0"/>
        <w:emboss w:val="0"/>
        <w:imprint w:val="0"/>
        <w:vanish w:val="0"/>
        <w:color w:val="000000"/>
        <w:spacing w:val="0"/>
        <w:kern w:val="3"/>
        <w:position w:val="0"/>
        <w:sz w:val="20"/>
        <w:szCs w:val="24"/>
        <w:u w:val="none"/>
        <w:vertAlign w:val="baseline"/>
      </w:rPr>
    </w:lvl>
    <w:lvl w:ilvl="1" w:tentative="0">
      <w:start w:val="1"/>
      <w:numFmt w:val="upperLetter"/>
      <w:lvlText w:val="%2."/>
      <w:lvlJc w:val="left"/>
      <w:pPr>
        <w:ind w:left="288" w:hanging="288"/>
      </w:pPr>
      <w:rPr>
        <w:rFonts w:ascii="Times New Roman" w:hAnsi="Times New Roman" w:cs="Times New Roman"/>
        <w:b w:val="0"/>
        <w:i w:val="0"/>
        <w:sz w:val="20"/>
      </w:r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3">
    <w:nsid w:val="64240253"/>
    <w:multiLevelType w:val="multilevel"/>
    <w:tmpl w:val="6424025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70497E4F"/>
    <w:multiLevelType w:val="multilevel"/>
    <w:tmpl w:val="70497E4F"/>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7216779C"/>
    <w:multiLevelType w:val="multilevel"/>
    <w:tmpl w:val="7216779C"/>
    <w:lvl w:ilvl="0" w:tentative="0">
      <w:start w:val="1"/>
      <w:numFmt w:val="decimal"/>
      <w:pStyle w:val="18"/>
      <w:lvlText w:val="[%1]"/>
      <w:lvlJc w:val="left"/>
      <w:pPr>
        <w:ind w:left="432" w:hanging="432"/>
      </w:pPr>
    </w:lvl>
    <w:lvl w:ilvl="1" w:tentative="0">
      <w:start w:val="1"/>
      <w:numFmt w:val="decimal"/>
      <w:lvlText w:val="%1.%2)"/>
      <w:lvlJc w:val="left"/>
      <w:pPr>
        <w:ind w:left="936" w:hanging="720"/>
      </w:pPr>
    </w:lvl>
    <w:lvl w:ilvl="2" w:tentative="0">
      <w:start w:val="1"/>
      <w:numFmt w:val="decimal"/>
      <w:lvlText w:val="%3)"/>
      <w:lvlJc w:val="left"/>
      <w:pPr>
        <w:ind w:left="360" w:hanging="360"/>
      </w:pPr>
    </w:lvl>
    <w:lvl w:ilvl="3" w:tentative="0">
      <w:start w:val="1"/>
      <w:numFmt w:val="decimal"/>
      <w:lvlText w:val="%1.%2.%3.%4."/>
      <w:lvlJc w:val="left"/>
      <w:pPr>
        <w:ind w:left="1296" w:hanging="1080"/>
      </w:pPr>
    </w:lvl>
    <w:lvl w:ilvl="4" w:tentative="0">
      <w:start w:val="1"/>
      <w:numFmt w:val="decimal"/>
      <w:lvlText w:val="%1.%2.%3.%4.%5."/>
      <w:lvlJc w:val="left"/>
      <w:pPr>
        <w:ind w:left="1296" w:hanging="1080"/>
      </w:pPr>
    </w:lvl>
    <w:lvl w:ilvl="5" w:tentative="0">
      <w:start w:val="1"/>
      <w:numFmt w:val="decimal"/>
      <w:lvlText w:val="%1.%2.%3.%4.%5.%6."/>
      <w:lvlJc w:val="left"/>
      <w:pPr>
        <w:ind w:left="1656" w:hanging="1440"/>
      </w:pPr>
    </w:lvl>
    <w:lvl w:ilvl="6" w:tentative="0">
      <w:start w:val="1"/>
      <w:numFmt w:val="decimal"/>
      <w:lvlText w:val="%1.%2.%3.%4.%5.%6.%7."/>
      <w:lvlJc w:val="left"/>
      <w:pPr>
        <w:ind w:left="1656" w:hanging="1440"/>
      </w:pPr>
    </w:lvl>
    <w:lvl w:ilvl="7" w:tentative="0">
      <w:start w:val="1"/>
      <w:numFmt w:val="decimal"/>
      <w:lvlText w:val="%1.%2.%3.%4.%5.%6.%7.%8."/>
      <w:lvlJc w:val="left"/>
      <w:pPr>
        <w:ind w:left="2016" w:hanging="1800"/>
      </w:pPr>
    </w:lvl>
    <w:lvl w:ilvl="8" w:tentative="0">
      <w:start w:val="1"/>
      <w:numFmt w:val="decimal"/>
      <w:lvlText w:val="%1.%2.%3.%4.%5.%6.%7.%8.%9."/>
      <w:lvlJc w:val="left"/>
      <w:pPr>
        <w:ind w:left="2016" w:hanging="1800"/>
      </w:pPr>
    </w:lvl>
  </w:abstractNum>
  <w:abstractNum w:abstractNumId="6">
    <w:nsid w:val="77986572"/>
    <w:multiLevelType w:val="multilevel"/>
    <w:tmpl w:val="7798657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7F692949"/>
    <w:multiLevelType w:val="multilevel"/>
    <w:tmpl w:val="7F692949"/>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num w:numId="1">
    <w:abstractNumId w:val="5"/>
  </w:num>
  <w:num w:numId="2">
    <w:abstractNumId w:val="2"/>
  </w:num>
  <w:num w:numId="3">
    <w:abstractNumId w:val="7"/>
  </w:num>
  <w:num w:numId="4">
    <w:abstractNumId w:val="3"/>
  </w:num>
  <w:num w:numId="5">
    <w:abstractNumId w:val="0"/>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F5C"/>
    <w:rsid w:val="00001D2A"/>
    <w:rsid w:val="00031564"/>
    <w:rsid w:val="0003218C"/>
    <w:rsid w:val="000B004E"/>
    <w:rsid w:val="000B0D0F"/>
    <w:rsid w:val="000C416C"/>
    <w:rsid w:val="000D2D93"/>
    <w:rsid w:val="000D44EE"/>
    <w:rsid w:val="000F3662"/>
    <w:rsid w:val="00101CE6"/>
    <w:rsid w:val="00111AA0"/>
    <w:rsid w:val="00112F01"/>
    <w:rsid w:val="00120CC1"/>
    <w:rsid w:val="001B1EBB"/>
    <w:rsid w:val="001B6B2E"/>
    <w:rsid w:val="001D5478"/>
    <w:rsid w:val="002435C7"/>
    <w:rsid w:val="00260294"/>
    <w:rsid w:val="00276AEC"/>
    <w:rsid w:val="00285CC2"/>
    <w:rsid w:val="00293CD4"/>
    <w:rsid w:val="002942B0"/>
    <w:rsid w:val="002A2CA9"/>
    <w:rsid w:val="002B1BBD"/>
    <w:rsid w:val="002B6B94"/>
    <w:rsid w:val="002C03D2"/>
    <w:rsid w:val="00304E84"/>
    <w:rsid w:val="00310575"/>
    <w:rsid w:val="003129AE"/>
    <w:rsid w:val="003320A3"/>
    <w:rsid w:val="00342F96"/>
    <w:rsid w:val="00350D28"/>
    <w:rsid w:val="00393E7B"/>
    <w:rsid w:val="003A05E7"/>
    <w:rsid w:val="003A30DF"/>
    <w:rsid w:val="003F024F"/>
    <w:rsid w:val="0040377E"/>
    <w:rsid w:val="004131B0"/>
    <w:rsid w:val="0044159B"/>
    <w:rsid w:val="00472660"/>
    <w:rsid w:val="00472B7C"/>
    <w:rsid w:val="00480D9C"/>
    <w:rsid w:val="00487E6A"/>
    <w:rsid w:val="004A2B1D"/>
    <w:rsid w:val="004A7A98"/>
    <w:rsid w:val="004F5668"/>
    <w:rsid w:val="004F5C14"/>
    <w:rsid w:val="00551AD7"/>
    <w:rsid w:val="0056685C"/>
    <w:rsid w:val="00567629"/>
    <w:rsid w:val="00586590"/>
    <w:rsid w:val="00593D80"/>
    <w:rsid w:val="005D192D"/>
    <w:rsid w:val="006019DE"/>
    <w:rsid w:val="00616378"/>
    <w:rsid w:val="0063784C"/>
    <w:rsid w:val="0069403A"/>
    <w:rsid w:val="006F6724"/>
    <w:rsid w:val="00703D98"/>
    <w:rsid w:val="00703E59"/>
    <w:rsid w:val="0072633C"/>
    <w:rsid w:val="007451CD"/>
    <w:rsid w:val="00763A0D"/>
    <w:rsid w:val="00763BC5"/>
    <w:rsid w:val="00763FFA"/>
    <w:rsid w:val="00765191"/>
    <w:rsid w:val="0078122C"/>
    <w:rsid w:val="007A4F0B"/>
    <w:rsid w:val="007C58C9"/>
    <w:rsid w:val="007C7E52"/>
    <w:rsid w:val="00821778"/>
    <w:rsid w:val="00825F22"/>
    <w:rsid w:val="008401FD"/>
    <w:rsid w:val="008406EC"/>
    <w:rsid w:val="00877999"/>
    <w:rsid w:val="008C2068"/>
    <w:rsid w:val="009070CF"/>
    <w:rsid w:val="00997069"/>
    <w:rsid w:val="00997B56"/>
    <w:rsid w:val="009B4684"/>
    <w:rsid w:val="009B7C5C"/>
    <w:rsid w:val="009C4873"/>
    <w:rsid w:val="00A10111"/>
    <w:rsid w:val="00A73071"/>
    <w:rsid w:val="00A864CA"/>
    <w:rsid w:val="00A92F5C"/>
    <w:rsid w:val="00AA13E8"/>
    <w:rsid w:val="00AB20E3"/>
    <w:rsid w:val="00AD23DC"/>
    <w:rsid w:val="00AE4551"/>
    <w:rsid w:val="00B17670"/>
    <w:rsid w:val="00B30806"/>
    <w:rsid w:val="00B56F3F"/>
    <w:rsid w:val="00B626A1"/>
    <w:rsid w:val="00B65A7D"/>
    <w:rsid w:val="00B76AAE"/>
    <w:rsid w:val="00B80F09"/>
    <w:rsid w:val="00BF0478"/>
    <w:rsid w:val="00C06133"/>
    <w:rsid w:val="00C217BA"/>
    <w:rsid w:val="00C65884"/>
    <w:rsid w:val="00C9586F"/>
    <w:rsid w:val="00CB6851"/>
    <w:rsid w:val="00CC4B0E"/>
    <w:rsid w:val="00D02DF8"/>
    <w:rsid w:val="00D07A7F"/>
    <w:rsid w:val="00D12041"/>
    <w:rsid w:val="00D168F1"/>
    <w:rsid w:val="00D2408A"/>
    <w:rsid w:val="00D32CCF"/>
    <w:rsid w:val="00D335E3"/>
    <w:rsid w:val="00D62C32"/>
    <w:rsid w:val="00D96637"/>
    <w:rsid w:val="00E15179"/>
    <w:rsid w:val="00E20065"/>
    <w:rsid w:val="00E20817"/>
    <w:rsid w:val="00E35620"/>
    <w:rsid w:val="00E541BB"/>
    <w:rsid w:val="00E54C34"/>
    <w:rsid w:val="00E56B62"/>
    <w:rsid w:val="00E64C51"/>
    <w:rsid w:val="00E70ADA"/>
    <w:rsid w:val="00E82132"/>
    <w:rsid w:val="00EC42A4"/>
    <w:rsid w:val="00EE23AE"/>
    <w:rsid w:val="00EF6130"/>
    <w:rsid w:val="00F10270"/>
    <w:rsid w:val="00F21AB9"/>
    <w:rsid w:val="00F22706"/>
    <w:rsid w:val="00F35C6C"/>
    <w:rsid w:val="00F84ED0"/>
    <w:rsid w:val="00F91CB6"/>
    <w:rsid w:val="00FB2A94"/>
    <w:rsid w:val="00FB45E4"/>
    <w:rsid w:val="00FC5D06"/>
    <w:rsid w:val="00FE4ED3"/>
    <w:rsid w:val="00FF442F"/>
    <w:rsid w:val="00FF4C10"/>
    <w:rsid w:val="00FF6918"/>
    <w:rsid w:val="51C1525E"/>
    <w:rsid w:val="7BA50BE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autoSpaceDN w:val="0"/>
      <w:textAlignment w:val="baseline"/>
    </w:pPr>
    <w:rPr>
      <w:rFonts w:ascii="Times New Roman" w:hAnsi="Times New Roman" w:eastAsia="DejaVu Sans" w:cs="Lohit Hindi"/>
      <w:kern w:val="3"/>
      <w:sz w:val="24"/>
      <w:szCs w:val="24"/>
      <w:lang w:val="fr-FR" w:eastAsia="zh-CN" w:bidi="hi-IN"/>
    </w:rPr>
  </w:style>
  <w:style w:type="paragraph" w:styleId="2">
    <w:name w:val="heading 1"/>
    <w:basedOn w:val="1"/>
    <w:next w:val="1"/>
    <w:link w:val="22"/>
    <w:qFormat/>
    <w:uiPriority w:val="9"/>
    <w:pPr>
      <w:keepNext/>
      <w:keepLines/>
      <w:spacing w:before="240"/>
      <w:outlineLvl w:val="0"/>
    </w:pPr>
    <w:rPr>
      <w:rFonts w:cs="Mangal" w:asciiTheme="majorHAnsi" w:hAnsiTheme="majorHAnsi" w:eastAsiaTheme="majorEastAsia"/>
      <w:color w:val="2F5496" w:themeColor="accent1" w:themeShade="BF"/>
      <w:sz w:val="32"/>
      <w:szCs w:val="29"/>
    </w:rPr>
  </w:style>
  <w:style w:type="paragraph" w:styleId="3">
    <w:name w:val="heading 2"/>
    <w:basedOn w:val="1"/>
    <w:next w:val="1"/>
    <w:link w:val="23"/>
    <w:semiHidden/>
    <w:unhideWhenUsed/>
    <w:qFormat/>
    <w:uiPriority w:val="9"/>
    <w:pPr>
      <w:keepNext/>
      <w:keepLines/>
      <w:spacing w:before="40"/>
      <w:outlineLvl w:val="1"/>
    </w:pPr>
    <w:rPr>
      <w:rFonts w:cs="Mangal" w:asciiTheme="majorHAnsi" w:hAnsiTheme="majorHAnsi" w:eastAsiaTheme="majorEastAsia"/>
      <w:color w:val="2F5496" w:themeColor="accent1" w:themeShade="BF"/>
      <w:sz w:val="26"/>
      <w:szCs w:val="23"/>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Indent 2"/>
    <w:basedOn w:val="1"/>
    <w:link w:val="20"/>
    <w:semiHidden/>
    <w:qFormat/>
    <w:uiPriority w:val="0"/>
    <w:pPr>
      <w:widowControl/>
      <w:suppressAutoHyphens w:val="0"/>
      <w:autoSpaceDN/>
      <w:ind w:left="708"/>
      <w:textAlignment w:val="auto"/>
    </w:pPr>
    <w:rPr>
      <w:rFonts w:eastAsia="Times New Roman" w:cs="Times New Roman"/>
      <w:kern w:val="0"/>
      <w:lang w:eastAsia="fr-FR" w:bidi="ar-SA"/>
    </w:rPr>
  </w:style>
  <w:style w:type="paragraph" w:styleId="5">
    <w:name w:val="Balloon Text"/>
    <w:basedOn w:val="1"/>
    <w:link w:val="25"/>
    <w:semiHidden/>
    <w:unhideWhenUsed/>
    <w:qFormat/>
    <w:uiPriority w:val="99"/>
    <w:rPr>
      <w:rFonts w:ascii="Tahoma" w:hAnsi="Tahoma" w:cs="Mangal"/>
      <w:sz w:val="16"/>
      <w:szCs w:val="14"/>
    </w:rPr>
  </w:style>
  <w:style w:type="paragraph" w:styleId="6">
    <w:name w:val="Normal (Web)"/>
    <w:basedOn w:val="1"/>
    <w:unhideWhenUsed/>
    <w:qFormat/>
    <w:uiPriority w:val="99"/>
    <w:pPr>
      <w:widowControl/>
      <w:suppressAutoHyphens w:val="0"/>
      <w:autoSpaceDN/>
      <w:spacing w:before="100" w:beforeAutospacing="1" w:after="100" w:afterAutospacing="1"/>
      <w:textAlignment w:val="auto"/>
    </w:pPr>
    <w:rPr>
      <w:rFonts w:eastAsia="Times New Roman" w:cs="Times New Roman"/>
      <w:kern w:val="0"/>
      <w:lang w:eastAsia="fr-FR" w:bidi="ar-SA"/>
    </w:rPr>
  </w:style>
  <w:style w:type="table" w:styleId="8">
    <w:name w:val="Table Grid"/>
    <w:basedOn w:val="7"/>
    <w:qFormat/>
    <w:uiPriority w:val="59"/>
    <w:rPr>
      <w:rFonts w:ascii="Times New Roman" w:hAnsi="Times New Roman" w:eastAsia="DejaVu Sans" w:cs="Lohit Hind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Emphasis"/>
    <w:basedOn w:val="9"/>
    <w:qFormat/>
    <w:uiPriority w:val="20"/>
    <w:rPr>
      <w:i/>
      <w:iCs/>
    </w:rPr>
  </w:style>
  <w:style w:type="character" w:styleId="11">
    <w:name w:val="Hyperlink"/>
    <w:basedOn w:val="9"/>
    <w:unhideWhenUsed/>
    <w:qFormat/>
    <w:uiPriority w:val="99"/>
    <w:rPr>
      <w:color w:val="0000FF"/>
      <w:u w:val="single"/>
    </w:rPr>
  </w:style>
  <w:style w:type="paragraph" w:customStyle="1" w:styleId="12">
    <w:name w:val="Standard"/>
    <w:qFormat/>
    <w:uiPriority w:val="0"/>
    <w:pPr>
      <w:suppressAutoHyphens/>
      <w:autoSpaceDN w:val="0"/>
      <w:textAlignment w:val="baseline"/>
    </w:pPr>
    <w:rPr>
      <w:rFonts w:ascii="Times New Roman" w:hAnsi="Times New Roman" w:eastAsia="SimSun, 宋体" w:cs="Times New Roman"/>
      <w:kern w:val="3"/>
      <w:sz w:val="24"/>
      <w:szCs w:val="24"/>
      <w:lang w:val="en-AU" w:eastAsia="zh-CN" w:bidi="ar-SA"/>
    </w:rPr>
  </w:style>
  <w:style w:type="paragraph" w:customStyle="1" w:styleId="13">
    <w:name w:val="CIENRIPS Résumé"/>
    <w:basedOn w:val="12"/>
    <w:next w:val="12"/>
    <w:qFormat/>
    <w:uiPriority w:val="0"/>
    <w:pPr>
      <w:snapToGrid w:val="0"/>
      <w:jc w:val="both"/>
    </w:pPr>
    <w:rPr>
      <w:b/>
      <w:sz w:val="18"/>
      <w:lang w:val="en-GB"/>
    </w:rPr>
  </w:style>
  <w:style w:type="character" w:customStyle="1" w:styleId="14">
    <w:name w:val="IEEE Abstract Heading Char"/>
    <w:qFormat/>
    <w:uiPriority w:val="0"/>
    <w:rPr>
      <w:rFonts w:eastAsia="SimSun, 宋体"/>
      <w:b/>
      <w:i/>
      <w:sz w:val="18"/>
      <w:szCs w:val="24"/>
      <w:lang w:val="en-GB" w:bidi="ar-SA"/>
    </w:rPr>
  </w:style>
  <w:style w:type="paragraph" w:customStyle="1" w:styleId="15">
    <w:name w:val="IEEE Title"/>
    <w:basedOn w:val="1"/>
    <w:next w:val="1"/>
    <w:qFormat/>
    <w:uiPriority w:val="0"/>
    <w:pPr>
      <w:widowControl/>
      <w:suppressAutoHyphens w:val="0"/>
      <w:autoSpaceDN/>
      <w:adjustRightInd w:val="0"/>
      <w:snapToGrid w:val="0"/>
      <w:jc w:val="center"/>
      <w:textAlignment w:val="auto"/>
    </w:pPr>
    <w:rPr>
      <w:rFonts w:eastAsia="宋体" w:cs="Times New Roman"/>
      <w:kern w:val="0"/>
      <w:sz w:val="48"/>
      <w:lang w:val="en-AU" w:bidi="ar-SA"/>
    </w:rPr>
  </w:style>
  <w:style w:type="paragraph" w:customStyle="1" w:styleId="16">
    <w:name w:val="Affiliation"/>
    <w:qFormat/>
    <w:uiPriority w:val="0"/>
    <w:pPr>
      <w:jc w:val="center"/>
    </w:pPr>
    <w:rPr>
      <w:rFonts w:ascii="Times New Roman" w:hAnsi="Times New Roman" w:eastAsia="宋体" w:cs="Times New Roman"/>
      <w:lang w:val="en-US" w:eastAsia="en-US" w:bidi="ar-SA"/>
    </w:rPr>
  </w:style>
  <w:style w:type="paragraph" w:customStyle="1" w:styleId="17">
    <w:name w:val="Default"/>
    <w:qFormat/>
    <w:uiPriority w:val="0"/>
    <w:pPr>
      <w:autoSpaceDE w:val="0"/>
      <w:autoSpaceDN w:val="0"/>
      <w:adjustRightInd w:val="0"/>
    </w:pPr>
    <w:rPr>
      <w:rFonts w:ascii="Times New Roman" w:hAnsi="Times New Roman" w:eastAsia="宋体" w:cs="Times New Roman"/>
      <w:color w:val="000000"/>
      <w:sz w:val="24"/>
      <w:szCs w:val="24"/>
      <w:lang w:val="en-US" w:eastAsia="en-US" w:bidi="ar-SA"/>
    </w:rPr>
  </w:style>
  <w:style w:type="paragraph" w:customStyle="1" w:styleId="18">
    <w:name w:val="CIENRIPS Référence Bibliographique - Item"/>
    <w:basedOn w:val="12"/>
    <w:qFormat/>
    <w:uiPriority w:val="0"/>
    <w:pPr>
      <w:numPr>
        <w:ilvl w:val="0"/>
        <w:numId w:val="1"/>
      </w:numPr>
      <w:snapToGrid w:val="0"/>
      <w:jc w:val="both"/>
    </w:pPr>
    <w:rPr>
      <w:sz w:val="16"/>
      <w:lang w:val="en-US"/>
    </w:rPr>
  </w:style>
  <w:style w:type="character" w:customStyle="1" w:styleId="19">
    <w:name w:val="Unresolved Mention"/>
    <w:basedOn w:val="9"/>
    <w:semiHidden/>
    <w:unhideWhenUsed/>
    <w:qFormat/>
    <w:uiPriority w:val="99"/>
    <w:rPr>
      <w:color w:val="605E5C"/>
      <w:shd w:val="clear" w:color="auto" w:fill="E1DFDD"/>
    </w:rPr>
  </w:style>
  <w:style w:type="character" w:customStyle="1" w:styleId="20">
    <w:name w:val="Retrait corps de texte 2 Car"/>
    <w:basedOn w:val="9"/>
    <w:link w:val="4"/>
    <w:semiHidden/>
    <w:qFormat/>
    <w:uiPriority w:val="0"/>
    <w:rPr>
      <w:rFonts w:ascii="Times New Roman" w:hAnsi="Times New Roman" w:eastAsia="Times New Roman" w:cs="Times New Roman"/>
      <w:sz w:val="24"/>
      <w:szCs w:val="24"/>
      <w:lang w:eastAsia="fr-FR"/>
    </w:rPr>
  </w:style>
  <w:style w:type="paragraph" w:styleId="21">
    <w:name w:val="List Paragraph"/>
    <w:basedOn w:val="1"/>
    <w:qFormat/>
    <w:uiPriority w:val="34"/>
    <w:pPr>
      <w:ind w:left="720"/>
      <w:contextualSpacing/>
    </w:pPr>
    <w:rPr>
      <w:rFonts w:cs="Mangal"/>
      <w:szCs w:val="21"/>
    </w:rPr>
  </w:style>
  <w:style w:type="character" w:customStyle="1" w:styleId="22">
    <w:name w:val="Titre 1 Car"/>
    <w:basedOn w:val="9"/>
    <w:link w:val="2"/>
    <w:qFormat/>
    <w:uiPriority w:val="9"/>
    <w:rPr>
      <w:rFonts w:cs="Mangal" w:asciiTheme="majorHAnsi" w:hAnsiTheme="majorHAnsi" w:eastAsiaTheme="majorEastAsia"/>
      <w:color w:val="2F5496" w:themeColor="accent1" w:themeShade="BF"/>
      <w:kern w:val="3"/>
      <w:sz w:val="32"/>
      <w:szCs w:val="29"/>
      <w:lang w:eastAsia="zh-CN" w:bidi="hi-IN"/>
    </w:rPr>
  </w:style>
  <w:style w:type="character" w:customStyle="1" w:styleId="23">
    <w:name w:val="Titre 2 Car"/>
    <w:basedOn w:val="9"/>
    <w:link w:val="3"/>
    <w:semiHidden/>
    <w:qFormat/>
    <w:uiPriority w:val="9"/>
    <w:rPr>
      <w:rFonts w:cs="Mangal" w:asciiTheme="majorHAnsi" w:hAnsiTheme="majorHAnsi" w:eastAsiaTheme="majorEastAsia"/>
      <w:color w:val="2F5496" w:themeColor="accent1" w:themeShade="BF"/>
      <w:kern w:val="3"/>
      <w:sz w:val="26"/>
      <w:szCs w:val="23"/>
      <w:lang w:eastAsia="zh-CN" w:bidi="hi-IN"/>
    </w:rPr>
  </w:style>
  <w:style w:type="paragraph" w:customStyle="1" w:styleId="24">
    <w:name w:val="CIENRIPS Sous-Section"/>
    <w:basedOn w:val="1"/>
    <w:next w:val="1"/>
    <w:qFormat/>
    <w:uiPriority w:val="0"/>
    <w:pPr>
      <w:widowControl/>
      <w:numPr>
        <w:ilvl w:val="0"/>
        <w:numId w:val="2"/>
      </w:numPr>
      <w:snapToGrid w:val="0"/>
      <w:spacing w:before="150" w:after="60"/>
      <w:textAlignment w:val="auto"/>
    </w:pPr>
    <w:rPr>
      <w:rFonts w:eastAsia="SimSun, 宋体" w:cs="Times New Roman"/>
      <w:i/>
      <w:sz w:val="20"/>
      <w:lang w:bidi="ar-SA"/>
    </w:rPr>
  </w:style>
  <w:style w:type="character" w:customStyle="1" w:styleId="25">
    <w:name w:val="Texte de bulles Car"/>
    <w:basedOn w:val="9"/>
    <w:link w:val="5"/>
    <w:semiHidden/>
    <w:uiPriority w:val="99"/>
    <w:rPr>
      <w:rFonts w:ascii="Tahoma" w:hAnsi="Tahoma" w:eastAsia="DejaVu Sans" w:cs="Mangal"/>
      <w:kern w:val="3"/>
      <w:sz w:val="16"/>
      <w:szCs w:val="14"/>
      <w:lang w:eastAsia="zh-CN" w:bidi="hi-IN"/>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chart" Target="charts/chart1.xml"/><Relationship Id="rId7" Type="http://schemas.openxmlformats.org/officeDocument/2006/relationships/image" Target="media/image3.wmf"/><Relationship Id="rId6" Type="http://schemas.openxmlformats.org/officeDocument/2006/relationships/oleObject" Target="embeddings/oleObject1.bin"/><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hart" Target="charts/chart5.xml"/><Relationship Id="rId2" Type="http://schemas.openxmlformats.org/officeDocument/2006/relationships/settings" Target="settings.xml"/><Relationship Id="rId19" Type="http://schemas.openxmlformats.org/officeDocument/2006/relationships/chart" Target="charts/chart4.xml"/><Relationship Id="rId18" Type="http://schemas.openxmlformats.org/officeDocument/2006/relationships/chart" Target="charts/chart3.xml"/><Relationship Id="rId17" Type="http://schemas.openxmlformats.org/officeDocument/2006/relationships/image" Target="media/image11.emf"/><Relationship Id="rId16" Type="http://schemas.openxmlformats.org/officeDocument/2006/relationships/image" Target="media/image10.emf"/><Relationship Id="rId15" Type="http://schemas.openxmlformats.org/officeDocument/2006/relationships/image" Target="media/image9.emf"/><Relationship Id="rId14" Type="http://schemas.openxmlformats.org/officeDocument/2006/relationships/image" Target="media/image8.emf"/><Relationship Id="rId13" Type="http://schemas.openxmlformats.org/officeDocument/2006/relationships/image" Target="media/image7.emf"/><Relationship Id="rId12" Type="http://schemas.openxmlformats.org/officeDocument/2006/relationships/image" Target="media/image6.emf"/><Relationship Id="rId11" Type="http://schemas.openxmlformats.org/officeDocument/2006/relationships/chart" Target="charts/chart2.xml"/><Relationship Id="rId10" Type="http://schemas.openxmlformats.org/officeDocument/2006/relationships/image" Target="media/image5.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Desktop\ARTICLE%20SJST\NOUVEAU%20ARTICLE2\Nouveau%20Feuille%20de%20calcul%20Microsoft%20Excel%20(version%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SUS\Desktop\ARTICLE%20SJST\NOUVEAU%20ARTICLE2\Nouveau%20Feuille%20de%20calcul%20Microsoft%20Excel%20(version%201).xls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oleObject" Target="file:///C:\Users\ASUS\Desktop\ARTICLE%20SJST\NOUVEAU%20ARTICLE2\Nouveau%20Feuille%20de%20calcul%20Microsoft%20Excel%20(version%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Heating</c:f>
              <c:strCache>
                <c:ptCount val="1"/>
                <c:pt idx="0">
                  <c:v>Heating</c:v>
                </c:pt>
              </c:strCache>
            </c:strRef>
          </c:tx>
          <c:spPr>
            <a:solidFill>
              <a:schemeClr val="accent1"/>
            </a:solidFill>
            <a:ln>
              <a:noFill/>
            </a:ln>
            <a:effectLst/>
          </c:spPr>
          <c:invertIfNegative val="0"/>
          <c:dLbls>
            <c:delete val="1"/>
          </c:dLbls>
          <c:cat>
            <c:strRef>
              <c:f>Feuil1!$B$3:$M$3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Feuil1!$B$4:$M$4</c:f>
              <c:numCache>
                <c:formatCode>General</c:formatCode>
                <c:ptCount val="12"/>
                <c:pt idx="0">
                  <c:v>2500</c:v>
                </c:pt>
                <c:pt idx="1">
                  <c:v>1600</c:v>
                </c:pt>
                <c:pt idx="2">
                  <c:v>1300</c:v>
                </c:pt>
                <c:pt idx="3">
                  <c:v>600</c:v>
                </c:pt>
                <c:pt idx="4">
                  <c:v>200</c:v>
                </c:pt>
                <c:pt idx="5">
                  <c:v>0</c:v>
                </c:pt>
                <c:pt idx="6">
                  <c:v>0</c:v>
                </c:pt>
                <c:pt idx="7">
                  <c:v>0</c:v>
                </c:pt>
                <c:pt idx="8">
                  <c:v>0</c:v>
                </c:pt>
                <c:pt idx="9">
                  <c:v>75</c:v>
                </c:pt>
                <c:pt idx="10">
                  <c:v>1000</c:v>
                </c:pt>
                <c:pt idx="11">
                  <c:v>2000</c:v>
                </c:pt>
              </c:numCache>
            </c:numRef>
          </c:val>
        </c:ser>
        <c:ser>
          <c:idx val="1"/>
          <c:order val="1"/>
          <c:tx>
            <c:strRef>
              <c:f>Cooling</c:f>
              <c:strCache>
                <c:ptCount val="1"/>
                <c:pt idx="0">
                  <c:v>Cooling</c:v>
                </c:pt>
              </c:strCache>
            </c:strRef>
          </c:tx>
          <c:spPr>
            <a:solidFill>
              <a:schemeClr val="accent2"/>
            </a:solidFill>
            <a:ln>
              <a:noFill/>
            </a:ln>
            <a:effectLst/>
          </c:spPr>
          <c:invertIfNegative val="0"/>
          <c:dLbls>
            <c:delete val="1"/>
          </c:dLbls>
          <c:cat>
            <c:strRef>
              <c:f>Feuil1!$B$3:$M$3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Feuil1!$B$5:$M$5</c:f>
              <c:numCache>
                <c:formatCode>General</c:formatCode>
                <c:ptCount val="12"/>
                <c:pt idx="0">
                  <c:v>0</c:v>
                </c:pt>
                <c:pt idx="1">
                  <c:v>0</c:v>
                </c:pt>
                <c:pt idx="2">
                  <c:v>0</c:v>
                </c:pt>
                <c:pt idx="3">
                  <c:v>0</c:v>
                </c:pt>
                <c:pt idx="4">
                  <c:v>1000</c:v>
                </c:pt>
                <c:pt idx="5">
                  <c:v>1900</c:v>
                </c:pt>
                <c:pt idx="6">
                  <c:v>3100</c:v>
                </c:pt>
                <c:pt idx="7">
                  <c:v>2900</c:v>
                </c:pt>
                <c:pt idx="8">
                  <c:v>1500</c:v>
                </c:pt>
                <c:pt idx="9">
                  <c:v>500</c:v>
                </c:pt>
                <c:pt idx="10">
                  <c:v>0</c:v>
                </c:pt>
                <c:pt idx="11">
                  <c:v>0</c:v>
                </c:pt>
              </c:numCache>
            </c:numRef>
          </c:val>
        </c:ser>
        <c:dLbls>
          <c:showLegendKey val="0"/>
          <c:showVal val="0"/>
          <c:showCatName val="0"/>
          <c:showSerName val="0"/>
          <c:showPercent val="0"/>
          <c:showBubbleSize val="0"/>
        </c:dLbls>
        <c:gapWidth val="150"/>
        <c:overlap val="100"/>
        <c:axId val="79571584"/>
        <c:axId val="79591296"/>
      </c:barChart>
      <c:catAx>
        <c:axId val="79571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1000" b="0" i="0" u="none" strike="noStrike" kern="1200" baseline="0">
                <a:solidFill>
                  <a:sysClr val="windowText" lastClr="000000"/>
                </a:solidFill>
                <a:latin typeface="+mn-lt"/>
                <a:ea typeface="+mn-ea"/>
                <a:cs typeface="Times New Roman" panose="02020603050405020304" charset="0"/>
              </a:defRPr>
            </a:pPr>
          </a:p>
        </c:txPr>
        <c:crossAx val="79591296"/>
        <c:crosses val="autoZero"/>
        <c:auto val="1"/>
        <c:lblAlgn val="ctr"/>
        <c:lblOffset val="100"/>
        <c:noMultiLvlLbl val="0"/>
      </c:catAx>
      <c:valAx>
        <c:axId val="79591296"/>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zh-CN" sz="1000" b="0" i="0" u="none" strike="noStrike" kern="1200" baseline="0">
                    <a:solidFill>
                      <a:sysClr val="windowText" lastClr="000000"/>
                    </a:solidFill>
                    <a:latin typeface="+mn-lt"/>
                    <a:ea typeface="+mn-ea"/>
                    <a:cs typeface="Times New Roman" panose="02020603050405020304" charset="0"/>
                  </a:defRPr>
                </a:pPr>
                <a:r>
                  <a:rPr lang="fr-FR"/>
                  <a:t>Energy requirement (KWH)</a:t>
                </a:r>
                <a:endParaRPr lang="fr-FR"/>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1000" b="0" i="0" u="none" strike="noStrike" kern="1200" baseline="0">
                <a:solidFill>
                  <a:sysClr val="windowText" lastClr="000000"/>
                </a:solidFill>
                <a:latin typeface="+mn-lt"/>
                <a:ea typeface="+mn-ea"/>
                <a:cs typeface="Times New Roman" panose="02020603050405020304" charset="0"/>
              </a:defRPr>
            </a:pPr>
          </a:p>
        </c:txPr>
        <c:crossAx val="79571584"/>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lang="zh-CN" sz="1000" b="0" i="0" u="none" strike="noStrike" kern="1200" baseline="0">
              <a:solidFill>
                <a:sysClr val="windowText" lastClr="000000"/>
              </a:solidFill>
              <a:latin typeface="+mn-lt"/>
              <a:ea typeface="+mn-ea"/>
              <a:cs typeface="Times New Roman" panose="02020603050405020304" charset="0"/>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000">
          <a:solidFill>
            <a:sysClr val="windowText" lastClr="000000"/>
          </a:solidFill>
          <a:latin typeface="+mn-lt"/>
          <a:cs typeface="Times New Roman" panose="02020603050405020304" charset="0"/>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Heating</c:f>
              <c:strCache>
                <c:ptCount val="1"/>
                <c:pt idx="0">
                  <c:v>Heating</c:v>
                </c:pt>
              </c:strCache>
            </c:strRef>
          </c:tx>
          <c:spPr>
            <a:solidFill>
              <a:schemeClr val="accent1"/>
            </a:solidFill>
            <a:ln w="25400">
              <a:noFill/>
            </a:ln>
            <a:effectLst/>
          </c:spPr>
          <c:invertIfNegative val="0"/>
          <c:dLbls>
            <c:delete val="1"/>
          </c:dLbls>
          <c:cat>
            <c:strRef>
              <c:f>Feuil1!$E$27:$F$27</c:f>
              <c:strCache>
                <c:ptCount val="2"/>
                <c:pt idx="0">
                  <c:v>Orientation 1</c:v>
                </c:pt>
                <c:pt idx="1">
                  <c:v>Orientation 2</c:v>
                </c:pt>
              </c:strCache>
            </c:strRef>
          </c:cat>
          <c:val>
            <c:numRef>
              <c:f>Feuil1!$E$28:$F$28</c:f>
              <c:numCache>
                <c:formatCode>General</c:formatCode>
                <c:ptCount val="2"/>
                <c:pt idx="0">
                  <c:v>9300</c:v>
                </c:pt>
                <c:pt idx="1">
                  <c:v>9765</c:v>
                </c:pt>
              </c:numCache>
            </c:numRef>
          </c:val>
        </c:ser>
        <c:ser>
          <c:idx val="1"/>
          <c:order val="1"/>
          <c:tx>
            <c:strRef>
              <c:f>Cooling</c:f>
              <c:strCache>
                <c:ptCount val="1"/>
                <c:pt idx="0">
                  <c:v>Cooling</c:v>
                </c:pt>
              </c:strCache>
            </c:strRef>
          </c:tx>
          <c:spPr>
            <a:solidFill>
              <a:schemeClr val="accent2"/>
            </a:solidFill>
            <a:ln w="25400">
              <a:noFill/>
            </a:ln>
            <a:effectLst/>
          </c:spPr>
          <c:invertIfNegative val="0"/>
          <c:dLbls>
            <c:delete val="1"/>
          </c:dLbls>
          <c:cat>
            <c:strRef>
              <c:f>Feuil1!$E$27:$F$27</c:f>
              <c:strCache>
                <c:ptCount val="2"/>
                <c:pt idx="0">
                  <c:v>Orientation 1</c:v>
                </c:pt>
                <c:pt idx="1">
                  <c:v>Orientation 2</c:v>
                </c:pt>
              </c:strCache>
            </c:strRef>
          </c:cat>
          <c:val>
            <c:numRef>
              <c:f>Feuil1!$E$29:$F$29</c:f>
              <c:numCache>
                <c:formatCode>General</c:formatCode>
                <c:ptCount val="2"/>
                <c:pt idx="0">
                  <c:v>11180</c:v>
                </c:pt>
                <c:pt idx="1">
                  <c:v>12387</c:v>
                </c:pt>
              </c:numCache>
            </c:numRef>
          </c:val>
        </c:ser>
        <c:ser>
          <c:idx val="2"/>
          <c:order val="2"/>
          <c:tx>
            <c:strRef>
              <c:f>Total</c:f>
              <c:strCache>
                <c:ptCount val="1"/>
                <c:pt idx="0">
                  <c:v>Total</c:v>
                </c:pt>
              </c:strCache>
            </c:strRef>
          </c:tx>
          <c:spPr>
            <a:solidFill>
              <a:schemeClr val="accent3"/>
            </a:solidFill>
            <a:ln w="25400">
              <a:noFill/>
            </a:ln>
            <a:effectLst/>
          </c:spPr>
          <c:invertIfNegative val="0"/>
          <c:dLbls>
            <c:delete val="1"/>
          </c:dLbls>
          <c:cat>
            <c:strRef>
              <c:f>Feuil1!$E$27:$F$27</c:f>
              <c:strCache>
                <c:ptCount val="2"/>
                <c:pt idx="0">
                  <c:v>Orientation 1</c:v>
                </c:pt>
                <c:pt idx="1">
                  <c:v>Orientation 2</c:v>
                </c:pt>
              </c:strCache>
            </c:strRef>
          </c:cat>
          <c:val>
            <c:numRef>
              <c:f>Feuil1!$E$30:$F$30</c:f>
              <c:numCache>
                <c:formatCode>General</c:formatCode>
                <c:ptCount val="2"/>
                <c:pt idx="0">
                  <c:v>20480</c:v>
                </c:pt>
                <c:pt idx="1">
                  <c:v>22152</c:v>
                </c:pt>
              </c:numCache>
            </c:numRef>
          </c:val>
        </c:ser>
        <c:dLbls>
          <c:showLegendKey val="0"/>
          <c:showVal val="0"/>
          <c:showCatName val="0"/>
          <c:showSerName val="0"/>
          <c:showPercent val="0"/>
          <c:showBubbleSize val="0"/>
        </c:dLbls>
        <c:gapWidth val="150"/>
        <c:axId val="84782080"/>
        <c:axId val="92511232"/>
      </c:barChart>
      <c:catAx>
        <c:axId val="84782080"/>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92511232"/>
        <c:crosses val="autoZero"/>
        <c:auto val="1"/>
        <c:lblAlgn val="ctr"/>
        <c:lblOffset val="100"/>
        <c:noMultiLvlLbl val="0"/>
      </c:catAx>
      <c:valAx>
        <c:axId val="92511232"/>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zh-CN" sz="1000" b="0" i="0" u="none" strike="noStrike" kern="1200" baseline="0">
                    <a:solidFill>
                      <a:sysClr val="windowText" lastClr="000000"/>
                    </a:solidFill>
                    <a:latin typeface="+mn-lt"/>
                    <a:ea typeface="+mn-ea"/>
                    <a:cs typeface="+mn-cs"/>
                  </a:defRPr>
                </a:pPr>
                <a:r>
                  <a:rPr lang="fr-FR"/>
                  <a:t>Energy requirement (KWH)</a:t>
                </a:r>
                <a:endParaRPr lang="fr-F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84782080"/>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solidFill>
            <a:sysClr val="windowText" lastClr="000000"/>
          </a:solidFill>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Heating</c:f>
              <c:strCache>
                <c:ptCount val="1"/>
                <c:pt idx="0">
                  <c:v>Heating</c:v>
                </c:pt>
              </c:strCache>
            </c:strRef>
          </c:tx>
          <c:spPr>
            <a:solidFill>
              <a:schemeClr val="accent1"/>
            </a:solidFill>
            <a:ln w="25400">
              <a:noFill/>
            </a:ln>
            <a:effectLst/>
          </c:spPr>
          <c:invertIfNegative val="0"/>
          <c:dLbls>
            <c:delete val="1"/>
          </c:dLbls>
          <c:errBars>
            <c:errBarType val="both"/>
            <c:errValType val="percentage"/>
            <c:noEndCap val="0"/>
            <c:val val="5"/>
            <c:spPr>
              <a:noFill/>
              <a:ln w="9525" cap="flat" cmpd="sng" algn="ctr">
                <a:solidFill>
                  <a:schemeClr val="tx1">
                    <a:lumMod val="65000"/>
                    <a:lumOff val="35000"/>
                  </a:schemeClr>
                </a:solidFill>
                <a:prstDash val="solid"/>
                <a:round/>
              </a:ln>
              <a:effectLst/>
            </c:spPr>
          </c:errBars>
          <c:cat>
            <c:strRef>
              <c:f>Feuil1!$D$45:$G$45</c:f>
              <c:strCache>
                <c:ptCount val="4"/>
                <c:pt idx="0">
                  <c:v>Single glazing</c:v>
                </c:pt>
                <c:pt idx="1">
                  <c:v>Double glazing</c:v>
                </c:pt>
                <c:pt idx="2">
                  <c:v>Triple glazing</c:v>
                </c:pt>
                <c:pt idx="3">
                  <c:v>Low-emission double glazing</c:v>
                </c:pt>
              </c:strCache>
            </c:strRef>
          </c:cat>
          <c:val>
            <c:numRef>
              <c:f>Feuil1!$D$46:$G$46</c:f>
              <c:numCache>
                <c:formatCode>General</c:formatCode>
                <c:ptCount val="4"/>
                <c:pt idx="0">
                  <c:v>9300</c:v>
                </c:pt>
                <c:pt idx="1">
                  <c:v>8379</c:v>
                </c:pt>
                <c:pt idx="2">
                  <c:v>8184</c:v>
                </c:pt>
                <c:pt idx="3">
                  <c:v>8215</c:v>
                </c:pt>
              </c:numCache>
            </c:numRef>
          </c:val>
        </c:ser>
        <c:ser>
          <c:idx val="1"/>
          <c:order val="1"/>
          <c:tx>
            <c:strRef>
              <c:f>Cooling</c:f>
              <c:strCache>
                <c:ptCount val="1"/>
                <c:pt idx="0">
                  <c:v>Cooling</c:v>
                </c:pt>
              </c:strCache>
            </c:strRef>
          </c:tx>
          <c:spPr>
            <a:solidFill>
              <a:schemeClr val="accent2"/>
            </a:solidFill>
            <a:ln w="25400">
              <a:noFill/>
            </a:ln>
            <a:effectLst/>
          </c:spPr>
          <c:invertIfNegative val="0"/>
          <c:dLbls>
            <c:delete val="1"/>
          </c:dLbls>
          <c:errBars>
            <c:errBarType val="both"/>
            <c:errValType val="percentage"/>
            <c:noEndCap val="0"/>
            <c:val val="5"/>
            <c:spPr>
              <a:noFill/>
              <a:ln w="9525" cap="flat" cmpd="sng" algn="ctr">
                <a:solidFill>
                  <a:schemeClr val="tx1">
                    <a:lumMod val="65000"/>
                    <a:lumOff val="35000"/>
                  </a:schemeClr>
                </a:solidFill>
                <a:prstDash val="solid"/>
                <a:round/>
              </a:ln>
              <a:effectLst/>
            </c:spPr>
          </c:errBars>
          <c:cat>
            <c:strRef>
              <c:f>Feuil1!$D$45:$G$45</c:f>
              <c:strCache>
                <c:ptCount val="4"/>
                <c:pt idx="0">
                  <c:v>Single glazing</c:v>
                </c:pt>
                <c:pt idx="1">
                  <c:v>Double glazing</c:v>
                </c:pt>
                <c:pt idx="2">
                  <c:v>Triple glazing</c:v>
                </c:pt>
                <c:pt idx="3">
                  <c:v>Low-emission double glazing</c:v>
                </c:pt>
              </c:strCache>
            </c:strRef>
          </c:cat>
          <c:val>
            <c:numRef>
              <c:f>Feuil1!$D$47:$G$47</c:f>
              <c:numCache>
                <c:formatCode>General</c:formatCode>
                <c:ptCount val="4"/>
                <c:pt idx="0">
                  <c:v>11180</c:v>
                </c:pt>
                <c:pt idx="1">
                  <c:v>11340</c:v>
                </c:pt>
                <c:pt idx="2">
                  <c:v>11290</c:v>
                </c:pt>
                <c:pt idx="3">
                  <c:v>11160</c:v>
                </c:pt>
              </c:numCache>
            </c:numRef>
          </c:val>
        </c:ser>
        <c:ser>
          <c:idx val="2"/>
          <c:order val="2"/>
          <c:tx>
            <c:strRef>
              <c:f>Total</c:f>
              <c:strCache>
                <c:ptCount val="1"/>
                <c:pt idx="0">
                  <c:v>Total</c:v>
                </c:pt>
              </c:strCache>
            </c:strRef>
          </c:tx>
          <c:spPr>
            <a:solidFill>
              <a:schemeClr val="accent3"/>
            </a:solidFill>
            <a:ln w="25400">
              <a:noFill/>
            </a:ln>
            <a:effectLst/>
          </c:spPr>
          <c:invertIfNegative val="0"/>
          <c:dLbls>
            <c:delete val="1"/>
          </c:dLbls>
          <c:errBars>
            <c:errBarType val="both"/>
            <c:errValType val="percentage"/>
            <c:noEndCap val="0"/>
            <c:val val="5"/>
            <c:spPr>
              <a:noFill/>
              <a:ln w="9525" cap="flat" cmpd="sng" algn="ctr">
                <a:solidFill>
                  <a:schemeClr val="tx1">
                    <a:lumMod val="65000"/>
                    <a:lumOff val="35000"/>
                  </a:schemeClr>
                </a:solidFill>
                <a:prstDash val="solid"/>
                <a:round/>
              </a:ln>
              <a:effectLst/>
            </c:spPr>
          </c:errBars>
          <c:cat>
            <c:strRef>
              <c:f>Feuil1!$D$45:$G$45</c:f>
              <c:strCache>
                <c:ptCount val="4"/>
                <c:pt idx="0">
                  <c:v>Single glazing</c:v>
                </c:pt>
                <c:pt idx="1">
                  <c:v>Double glazing</c:v>
                </c:pt>
                <c:pt idx="2">
                  <c:v>Triple glazing</c:v>
                </c:pt>
                <c:pt idx="3">
                  <c:v>Low-emission double glazing</c:v>
                </c:pt>
              </c:strCache>
            </c:strRef>
          </c:cat>
          <c:val>
            <c:numRef>
              <c:f>Feuil1!$D$48:$G$48</c:f>
              <c:numCache>
                <c:formatCode>General</c:formatCode>
                <c:ptCount val="4"/>
                <c:pt idx="0">
                  <c:v>20480</c:v>
                </c:pt>
                <c:pt idx="1">
                  <c:v>19719</c:v>
                </c:pt>
                <c:pt idx="2">
                  <c:v>19474</c:v>
                </c:pt>
                <c:pt idx="3">
                  <c:v>19375</c:v>
                </c:pt>
              </c:numCache>
            </c:numRef>
          </c:val>
        </c:ser>
        <c:dLbls>
          <c:showLegendKey val="0"/>
          <c:showVal val="0"/>
          <c:showCatName val="0"/>
          <c:showSerName val="0"/>
          <c:showPercent val="0"/>
          <c:showBubbleSize val="0"/>
        </c:dLbls>
        <c:gapWidth val="150"/>
        <c:axId val="135016832"/>
        <c:axId val="135018752"/>
      </c:barChart>
      <c:catAx>
        <c:axId val="13501683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135018752"/>
        <c:crosses val="autoZero"/>
        <c:auto val="1"/>
        <c:lblAlgn val="ctr"/>
        <c:lblOffset val="100"/>
        <c:noMultiLvlLbl val="0"/>
      </c:catAx>
      <c:valAx>
        <c:axId val="135018752"/>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zh-CN" sz="1000" b="0" i="0" u="none" strike="noStrike" kern="1200" baseline="0">
                    <a:solidFill>
                      <a:sysClr val="windowText" lastClr="000000"/>
                    </a:solidFill>
                    <a:latin typeface="+mn-lt"/>
                    <a:ea typeface="+mn-ea"/>
                    <a:cs typeface="+mn-cs"/>
                  </a:defRPr>
                </a:pPr>
                <a:r>
                  <a:rPr lang="fr-FR"/>
                  <a:t>Energy requirement (KWH)</a:t>
                </a:r>
                <a:endParaRPr lang="fr-F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135016832"/>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solidFill>
            <a:sysClr val="windowText" lastClr="000000"/>
          </a:solidFill>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Heating</c:f>
              <c:strCache>
                <c:ptCount val="1"/>
                <c:pt idx="0">
                  <c:v>Heating</c:v>
                </c:pt>
              </c:strCache>
            </c:strRef>
          </c:tx>
          <c:spPr>
            <a:solidFill>
              <a:schemeClr val="accent1"/>
            </a:solidFill>
            <a:ln w="25400">
              <a:noFill/>
            </a:ln>
            <a:effectLst/>
          </c:spPr>
          <c:invertIfNegative val="0"/>
          <c:dLbls>
            <c:delete val="1"/>
          </c:dLbls>
          <c:cat>
            <c:strRef>
              <c:f>Feuil1!$C$66:$G$66</c:f>
              <c:strCache>
                <c:ptCount val="5"/>
                <c:pt idx="0">
                  <c:v>Hollow bricks (15cm)</c:v>
                </c:pt>
                <c:pt idx="1">
                  <c:v>Hollow bricks (10cm)</c:v>
                </c:pt>
                <c:pt idx="2">
                  <c:v>Double wall (30cm)</c:v>
                </c:pt>
                <c:pt idx="3">
                  <c:v>Concrete wall (15cm)</c:v>
                </c:pt>
                <c:pt idx="4">
                  <c:v>Stone wall (45cm)</c:v>
                </c:pt>
              </c:strCache>
            </c:strRef>
          </c:cat>
          <c:val>
            <c:numRef>
              <c:f>Feuil1!$C$67:$G$67</c:f>
              <c:numCache>
                <c:formatCode>General</c:formatCode>
                <c:ptCount val="5"/>
                <c:pt idx="0">
                  <c:v>9000</c:v>
                </c:pt>
                <c:pt idx="1">
                  <c:v>11000</c:v>
                </c:pt>
                <c:pt idx="2">
                  <c:v>5050</c:v>
                </c:pt>
                <c:pt idx="3">
                  <c:v>12700</c:v>
                </c:pt>
                <c:pt idx="4">
                  <c:v>8000</c:v>
                </c:pt>
              </c:numCache>
            </c:numRef>
          </c:val>
        </c:ser>
        <c:ser>
          <c:idx val="1"/>
          <c:order val="1"/>
          <c:tx>
            <c:strRef>
              <c:f>Cooling</c:f>
              <c:strCache>
                <c:ptCount val="1"/>
                <c:pt idx="0">
                  <c:v>Cooling</c:v>
                </c:pt>
              </c:strCache>
            </c:strRef>
          </c:tx>
          <c:spPr>
            <a:solidFill>
              <a:schemeClr val="accent2"/>
            </a:solidFill>
            <a:ln w="25400">
              <a:noFill/>
            </a:ln>
            <a:effectLst/>
          </c:spPr>
          <c:invertIfNegative val="0"/>
          <c:dLbls>
            <c:delete val="1"/>
          </c:dLbls>
          <c:cat>
            <c:strRef>
              <c:f>Feuil1!$C$66:$G$66</c:f>
              <c:strCache>
                <c:ptCount val="5"/>
                <c:pt idx="0">
                  <c:v>Hollow bricks (15cm)</c:v>
                </c:pt>
                <c:pt idx="1">
                  <c:v>Hollow bricks (10cm)</c:v>
                </c:pt>
                <c:pt idx="2">
                  <c:v>Double wall (30cm)</c:v>
                </c:pt>
                <c:pt idx="3">
                  <c:v>Concrete wall (15cm)</c:v>
                </c:pt>
                <c:pt idx="4">
                  <c:v>Stone wall (45cm)</c:v>
                </c:pt>
              </c:strCache>
            </c:strRef>
          </c:cat>
          <c:val>
            <c:numRef>
              <c:f>Feuil1!$C$68:$G$68</c:f>
              <c:numCache>
                <c:formatCode>General</c:formatCode>
                <c:ptCount val="5"/>
                <c:pt idx="0">
                  <c:v>11000</c:v>
                </c:pt>
                <c:pt idx="1">
                  <c:v>12000</c:v>
                </c:pt>
                <c:pt idx="2">
                  <c:v>10500</c:v>
                </c:pt>
                <c:pt idx="3">
                  <c:v>10600</c:v>
                </c:pt>
                <c:pt idx="4">
                  <c:v>10000</c:v>
                </c:pt>
              </c:numCache>
            </c:numRef>
          </c:val>
        </c:ser>
        <c:ser>
          <c:idx val="2"/>
          <c:order val="2"/>
          <c:tx>
            <c:strRef>
              <c:f>Total</c:f>
              <c:strCache>
                <c:ptCount val="1"/>
                <c:pt idx="0">
                  <c:v>Total</c:v>
                </c:pt>
              </c:strCache>
            </c:strRef>
          </c:tx>
          <c:spPr>
            <a:solidFill>
              <a:schemeClr val="accent3"/>
            </a:solidFill>
            <a:ln w="25400">
              <a:noFill/>
            </a:ln>
            <a:effectLst/>
          </c:spPr>
          <c:invertIfNegative val="0"/>
          <c:dLbls>
            <c:delete val="1"/>
          </c:dLbls>
          <c:cat>
            <c:strRef>
              <c:f>Feuil1!$C$66:$G$66</c:f>
              <c:strCache>
                <c:ptCount val="5"/>
                <c:pt idx="0">
                  <c:v>Hollow bricks (15cm)</c:v>
                </c:pt>
                <c:pt idx="1">
                  <c:v>Hollow bricks (10cm)</c:v>
                </c:pt>
                <c:pt idx="2">
                  <c:v>Double wall (30cm)</c:v>
                </c:pt>
                <c:pt idx="3">
                  <c:v>Concrete wall (15cm)</c:v>
                </c:pt>
                <c:pt idx="4">
                  <c:v>Stone wall (45cm)</c:v>
                </c:pt>
              </c:strCache>
            </c:strRef>
          </c:cat>
          <c:val>
            <c:numRef>
              <c:f>Feuil1!$C$69:$G$69</c:f>
              <c:numCache>
                <c:formatCode>General</c:formatCode>
                <c:ptCount val="5"/>
                <c:pt idx="0">
                  <c:v>20050</c:v>
                </c:pt>
                <c:pt idx="1">
                  <c:v>22500</c:v>
                </c:pt>
                <c:pt idx="2">
                  <c:v>15050</c:v>
                </c:pt>
                <c:pt idx="3">
                  <c:v>23300</c:v>
                </c:pt>
                <c:pt idx="4">
                  <c:v>18000</c:v>
                </c:pt>
              </c:numCache>
            </c:numRef>
          </c:val>
        </c:ser>
        <c:dLbls>
          <c:showLegendKey val="0"/>
          <c:showVal val="0"/>
          <c:showCatName val="0"/>
          <c:showSerName val="0"/>
          <c:showPercent val="0"/>
          <c:showBubbleSize val="0"/>
        </c:dLbls>
        <c:gapWidth val="150"/>
        <c:axId val="144416128"/>
        <c:axId val="82329600"/>
      </c:barChart>
      <c:catAx>
        <c:axId val="144416128"/>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82329600"/>
        <c:crosses val="autoZero"/>
        <c:auto val="1"/>
        <c:lblAlgn val="ctr"/>
        <c:lblOffset val="100"/>
        <c:noMultiLvlLbl val="0"/>
      </c:catAx>
      <c:valAx>
        <c:axId val="82329600"/>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zh-CN" sz="1000" b="0" i="0" u="none" strike="noStrike" kern="1200" baseline="0">
                    <a:solidFill>
                      <a:sysClr val="windowText" lastClr="000000"/>
                    </a:solidFill>
                    <a:latin typeface="+mn-lt"/>
                    <a:ea typeface="+mn-ea"/>
                    <a:cs typeface="+mn-cs"/>
                  </a:defRPr>
                </a:pPr>
                <a:r>
                  <a:rPr lang="fr-FR"/>
                  <a:t>Energy requirement (KWH)</a:t>
                </a:r>
                <a:endParaRPr lang="fr-F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144416128"/>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solidFill>
            <a:sysClr val="windowText" lastClr="000000"/>
          </a:solidFill>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Exterior wall</c:f>
              <c:strCache>
                <c:ptCount val="1"/>
                <c:pt idx="0">
                  <c:v>Exterior wall</c:v>
                </c:pt>
              </c:strCache>
            </c:strRef>
          </c:tx>
          <c:spPr>
            <a:ln w="19050"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dLbls>
            <c:delete val="1"/>
          </c:dLbls>
          <c:xVal>
            <c:numRef>
              <c:f>Feuil1!$C$77:$F$77</c:f>
              <c:numCache>
                <c:formatCode>General</c:formatCode>
                <c:ptCount val="4"/>
                <c:pt idx="0">
                  <c:v>0</c:v>
                </c:pt>
                <c:pt idx="1">
                  <c:v>2</c:v>
                </c:pt>
                <c:pt idx="2">
                  <c:v>5</c:v>
                </c:pt>
                <c:pt idx="3">
                  <c:v>7</c:v>
                </c:pt>
              </c:numCache>
            </c:numRef>
          </c:xVal>
          <c:yVal>
            <c:numRef>
              <c:f>Feuil1!$C$78:$F$78</c:f>
              <c:numCache>
                <c:formatCode>General</c:formatCode>
                <c:ptCount val="4"/>
                <c:pt idx="0">
                  <c:v>21000</c:v>
                </c:pt>
                <c:pt idx="1">
                  <c:v>14000</c:v>
                </c:pt>
                <c:pt idx="2">
                  <c:v>13500</c:v>
                </c:pt>
                <c:pt idx="3">
                  <c:v>13500</c:v>
                </c:pt>
              </c:numCache>
            </c:numRef>
          </c:yVal>
          <c:smooth val="0"/>
        </c:ser>
        <c:ser>
          <c:idx val="1"/>
          <c:order val="1"/>
          <c:tx>
            <c:strRef>
              <c:f>Roof</c:f>
              <c:strCache>
                <c:ptCount val="1"/>
                <c:pt idx="0">
                  <c:v>Roof</c:v>
                </c:pt>
              </c:strCache>
            </c:strRef>
          </c:tx>
          <c:spPr>
            <a:ln w="19050" cap="rnd" cmpd="sng" algn="ctr">
              <a:solidFill>
                <a:schemeClr val="accent2"/>
              </a:solidFill>
              <a:prstDash val="solid"/>
              <a:round/>
            </a:ln>
            <a:effectLst/>
          </c:spPr>
          <c:marker>
            <c:symbol val="circle"/>
            <c:size val="5"/>
            <c:spPr>
              <a:solidFill>
                <a:schemeClr val="accent2"/>
              </a:solidFill>
              <a:ln w="9525" cap="flat" cmpd="sng" algn="ctr">
                <a:solidFill>
                  <a:schemeClr val="accent2"/>
                </a:solidFill>
                <a:prstDash val="solid"/>
                <a:round/>
              </a:ln>
              <a:effectLst/>
            </c:spPr>
          </c:marker>
          <c:dLbls>
            <c:delete val="1"/>
          </c:dLbls>
          <c:xVal>
            <c:numRef>
              <c:f>Feuil1!$C$77:$F$77</c:f>
              <c:numCache>
                <c:formatCode>General</c:formatCode>
                <c:ptCount val="4"/>
                <c:pt idx="0">
                  <c:v>0</c:v>
                </c:pt>
                <c:pt idx="1">
                  <c:v>2</c:v>
                </c:pt>
                <c:pt idx="2">
                  <c:v>5</c:v>
                </c:pt>
                <c:pt idx="3">
                  <c:v>7</c:v>
                </c:pt>
              </c:numCache>
            </c:numRef>
          </c:xVal>
          <c:yVal>
            <c:numRef>
              <c:f>Feuil1!$C$79:$F$79</c:f>
              <c:numCache>
                <c:formatCode>General</c:formatCode>
                <c:ptCount val="4"/>
                <c:pt idx="0">
                  <c:v>21000</c:v>
                </c:pt>
                <c:pt idx="1">
                  <c:v>17500</c:v>
                </c:pt>
                <c:pt idx="2">
                  <c:v>16000</c:v>
                </c:pt>
                <c:pt idx="3">
                  <c:v>16000</c:v>
                </c:pt>
              </c:numCache>
            </c:numRef>
          </c:yVal>
          <c:smooth val="0"/>
        </c:ser>
        <c:dLbls>
          <c:showLegendKey val="0"/>
          <c:showVal val="0"/>
          <c:showCatName val="0"/>
          <c:showSerName val="0"/>
          <c:showPercent val="0"/>
          <c:showBubbleSize val="0"/>
        </c:dLbls>
        <c:axId val="85066880"/>
        <c:axId val="85068800"/>
      </c:scatterChart>
      <c:valAx>
        <c:axId val="85066880"/>
        <c:scaling>
          <c:orientation val="minMax"/>
          <c:max val="7"/>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1" vertOverflow="ellipsis" vert="horz" wrap="square" anchor="ctr" anchorCtr="1"/>
              <a:lstStyle/>
              <a:p>
                <a:pPr>
                  <a:defRPr lang="zh-CN" sz="1000" b="0" i="0" u="none" strike="noStrike" kern="1200" baseline="0">
                    <a:solidFill>
                      <a:sysClr val="windowText" lastClr="000000"/>
                    </a:solidFill>
                    <a:latin typeface="+mn-lt"/>
                    <a:ea typeface="+mn-ea"/>
                    <a:cs typeface="+mn-cs"/>
                  </a:defRPr>
                </a:pPr>
                <a:r>
                  <a:rPr lang="fr-FR"/>
                  <a:t>Insulation thickness (cm)</a:t>
                </a:r>
                <a:endParaRPr lang="fr-F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85068800"/>
        <c:crosses val="autoZero"/>
        <c:crossBetween val="midCat"/>
      </c:valAx>
      <c:valAx>
        <c:axId val="85068800"/>
        <c:scaling>
          <c:orientation val="minMax"/>
          <c:min val="1000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zh-CN" sz="1000" b="0" i="0" u="none" strike="noStrike" kern="1200" baseline="0">
                    <a:solidFill>
                      <a:sysClr val="windowText" lastClr="000000"/>
                    </a:solidFill>
                    <a:latin typeface="+mn-lt"/>
                    <a:ea typeface="+mn-ea"/>
                    <a:cs typeface="+mn-cs"/>
                  </a:defRPr>
                </a:pPr>
                <a:r>
                  <a:rPr lang="fr-FR"/>
                  <a:t>Energy requirement (KWH)</a:t>
                </a:r>
                <a:endParaRPr lang="fr-F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85066880"/>
        <c:crosses val="autoZero"/>
        <c:crossBetween val="midCat"/>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b="0">
          <a:solidFill>
            <a:sysClr val="windowText" lastClr="000000"/>
          </a:solidFill>
        </a:defRPr>
      </a:pPr>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3933</Words>
  <Characters>20431</Characters>
  <Lines>174</Lines>
  <Paragraphs>49</Paragraphs>
  <TotalTime>6</TotalTime>
  <ScaleCrop>false</ScaleCrop>
  <LinksUpToDate>false</LinksUpToDate>
  <CharactersWithSpaces>24025</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2022-06-14T11:07:00Z</dcterms:created>
  <dc:creator>JEDIDI MALEK</dc:creator>
  <cp:lastModifiedBy>Young_</cp:lastModifiedBy>
  <dcterms:modified xsi:type="dcterms:W3CDTF">2022-06-16T01:36:15Z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3A0EB2C52A79498A85EA922004F7B281</vt:lpwstr>
  </property>
</Properties>
</file>